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C09C8E">
      <w:pPr>
        <w:spacing w:line="240" w:lineRule="auto"/>
        <w:ind w:left="0" w:leftChars="0" w:firstLine="0" w:firstLineChars="0"/>
        <w:jc w:val="center"/>
        <w:rPr>
          <w:rFonts w:hint="eastAsia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达州市中西医结合医院</w:t>
      </w:r>
    </w:p>
    <w:p w14:paraId="78F3131B">
      <w:pPr>
        <w:spacing w:line="240" w:lineRule="auto"/>
        <w:ind w:left="0" w:leftChars="0" w:firstLine="0" w:firstLineChars="0"/>
        <w:jc w:val="center"/>
        <w:rPr>
          <w:rFonts w:hint="eastAsia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存储性能提升服务项目技术参数及要求</w:t>
      </w:r>
    </w:p>
    <w:p w14:paraId="2D889600">
      <w:pPr>
        <w:spacing w:line="240" w:lineRule="auto"/>
        <w:ind w:left="0" w:leftChars="0" w:firstLine="0" w:firstLineChars="0"/>
        <w:jc w:val="center"/>
        <w:rPr>
          <w:rFonts w:hint="eastAsia"/>
          <w:sz w:val="36"/>
          <w:szCs w:val="36"/>
          <w:lang w:val="en-US" w:eastAsia="zh-CN"/>
        </w:rPr>
      </w:pPr>
    </w:p>
    <w:tbl>
      <w:tblPr>
        <w:tblStyle w:val="17"/>
        <w:tblW w:w="95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1"/>
        <w:gridCol w:w="727"/>
        <w:gridCol w:w="4173"/>
        <w:gridCol w:w="760"/>
        <w:gridCol w:w="840"/>
        <w:gridCol w:w="2408"/>
      </w:tblGrid>
      <w:tr w14:paraId="6ACE12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681" w:type="dxa"/>
            <w:tcBorders>
              <w:tl2br w:val="nil"/>
              <w:tr2bl w:val="nil"/>
            </w:tcBorders>
            <w:shd w:val="clear" w:color="000000" w:fill="FFFFFF"/>
            <w:noWrap/>
            <w:vAlign w:val="center"/>
          </w:tcPr>
          <w:p w14:paraId="0D124C1D">
            <w:pPr>
              <w:spacing w:line="24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序号</w:t>
            </w:r>
          </w:p>
        </w:tc>
        <w:tc>
          <w:tcPr>
            <w:tcW w:w="727" w:type="dxa"/>
            <w:tcBorders>
              <w:tl2br w:val="nil"/>
              <w:tr2bl w:val="nil"/>
            </w:tcBorders>
            <w:shd w:val="clear" w:color="000000" w:fill="FFFFFF"/>
            <w:noWrap/>
            <w:vAlign w:val="center"/>
          </w:tcPr>
          <w:p w14:paraId="598DD09A">
            <w:pPr>
              <w:spacing w:line="24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名称</w:t>
            </w:r>
          </w:p>
        </w:tc>
        <w:tc>
          <w:tcPr>
            <w:tcW w:w="4173" w:type="dxa"/>
            <w:tcBorders>
              <w:tl2br w:val="nil"/>
              <w:tr2bl w:val="nil"/>
            </w:tcBorders>
            <w:shd w:val="clear" w:color="000000" w:fill="FFFFFF"/>
            <w:noWrap/>
            <w:vAlign w:val="center"/>
          </w:tcPr>
          <w:p w14:paraId="5FEEC840">
            <w:pPr>
              <w:spacing w:line="24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技术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参数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及要求</w:t>
            </w:r>
          </w:p>
        </w:tc>
        <w:tc>
          <w:tcPr>
            <w:tcW w:w="760" w:type="dxa"/>
            <w:tcBorders>
              <w:tl2br w:val="nil"/>
              <w:tr2bl w:val="nil"/>
            </w:tcBorders>
            <w:shd w:val="clear" w:color="000000" w:fill="FFFFFF"/>
            <w:noWrap/>
            <w:vAlign w:val="center"/>
          </w:tcPr>
          <w:p w14:paraId="70DDE529">
            <w:pPr>
              <w:spacing w:line="24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数量</w:t>
            </w:r>
          </w:p>
        </w:tc>
        <w:tc>
          <w:tcPr>
            <w:tcW w:w="840" w:type="dxa"/>
            <w:tcBorders>
              <w:tl2br w:val="nil"/>
              <w:tr2bl w:val="nil"/>
            </w:tcBorders>
            <w:shd w:val="clear" w:color="000000" w:fill="FFFFFF"/>
            <w:noWrap/>
            <w:vAlign w:val="center"/>
          </w:tcPr>
          <w:p w14:paraId="1D7ABB2F">
            <w:pPr>
              <w:spacing w:line="24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单位</w:t>
            </w:r>
          </w:p>
        </w:tc>
        <w:tc>
          <w:tcPr>
            <w:tcW w:w="2408" w:type="dxa"/>
            <w:tcBorders>
              <w:tl2br w:val="nil"/>
              <w:tr2bl w:val="nil"/>
            </w:tcBorders>
            <w:shd w:val="clear" w:color="000000" w:fill="FFFFFF"/>
            <w:noWrap/>
            <w:vAlign w:val="center"/>
          </w:tcPr>
          <w:p w14:paraId="3F01F270">
            <w:pPr>
              <w:spacing w:line="24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 w:cs="宋体"/>
                <w:sz w:val="21"/>
                <w:szCs w:val="21"/>
                <w:lang w:val="en-US" w:eastAsia="zh-CN"/>
              </w:rPr>
              <w:t>报价</w:t>
            </w:r>
          </w:p>
        </w:tc>
      </w:tr>
      <w:tr w14:paraId="3CFDEE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681" w:type="dxa"/>
            <w:tcBorders>
              <w:tl2br w:val="nil"/>
              <w:tr2bl w:val="nil"/>
            </w:tcBorders>
            <w:noWrap/>
            <w:vAlign w:val="center"/>
          </w:tcPr>
          <w:p w14:paraId="1AB5B5F8">
            <w:pPr>
              <w:spacing w:line="24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</w:t>
            </w:r>
          </w:p>
        </w:tc>
        <w:tc>
          <w:tcPr>
            <w:tcW w:w="727" w:type="dxa"/>
            <w:tcBorders>
              <w:tl2br w:val="nil"/>
              <w:tr2bl w:val="nil"/>
            </w:tcBorders>
            <w:noWrap/>
            <w:vAlign w:val="center"/>
          </w:tcPr>
          <w:p w14:paraId="6A01E25B">
            <w:pPr>
              <w:spacing w:line="240" w:lineRule="auto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 w:cs="宋体"/>
                <w:sz w:val="21"/>
                <w:szCs w:val="21"/>
                <w:lang w:val="en-US" w:eastAsia="zh-CN"/>
              </w:rPr>
              <w:t>硬盘</w:t>
            </w:r>
          </w:p>
        </w:tc>
        <w:tc>
          <w:tcPr>
            <w:tcW w:w="4173" w:type="dxa"/>
            <w:tcBorders>
              <w:tl2br w:val="nil"/>
              <w:tr2bl w:val="nil"/>
            </w:tcBorders>
            <w:noWrap w:val="0"/>
            <w:vAlign w:val="center"/>
          </w:tcPr>
          <w:p w14:paraId="107C6D85">
            <w:pPr>
              <w:spacing w:line="240" w:lineRule="auto"/>
              <w:ind w:left="0" w:leftChars="0" w:firstLine="0" w:firstLineChars="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单盘标称容量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≥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1.6TB，2.5英寸，标配SAS 12Gb/s高速接口，支持</w:t>
            </w:r>
            <w:r>
              <w:rPr>
                <w:rFonts w:hint="eastAsia" w:eastAsia="宋体" w:cs="宋体"/>
                <w:sz w:val="21"/>
                <w:szCs w:val="21"/>
                <w:lang w:val="en-US" w:eastAsia="zh-CN"/>
              </w:rPr>
              <w:t>掉电保护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。</w:t>
            </w:r>
          </w:p>
          <w:p w14:paraId="19BCD331">
            <w:pPr>
              <w:spacing w:line="240" w:lineRule="auto"/>
              <w:ind w:left="0" w:leftChars="0" w:firstLine="0" w:firstLineChars="0"/>
              <w:rPr>
                <w:rFonts w:hint="eastAsia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eastAsia="宋体" w:cs="宋体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顺序读取：≥ 1800 MB/s，顺序写入：≥ 1300 MB/s</w:t>
            </w:r>
            <w:r>
              <w:rPr>
                <w:rFonts w:hint="eastAsia" w:eastAsia="宋体" w:cs="宋体"/>
                <w:sz w:val="21"/>
                <w:szCs w:val="21"/>
                <w:lang w:val="en-US" w:eastAsia="zh-CN"/>
              </w:rPr>
              <w:t>；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4KB随机读IOPS≥1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0000、4KB随机写IOPS≥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0000</w:t>
            </w:r>
            <w:r>
              <w:rPr>
                <w:rFonts w:hint="eastAsia" w:eastAsia="宋体" w:cs="宋体"/>
                <w:sz w:val="21"/>
                <w:szCs w:val="21"/>
                <w:lang w:eastAsia="zh-CN"/>
              </w:rPr>
              <w:t>。</w:t>
            </w:r>
          </w:p>
          <w:p w14:paraId="0800B42A">
            <w:pPr>
              <w:spacing w:line="240" w:lineRule="auto"/>
              <w:ind w:left="0" w:leftChars="0" w:firstLine="0" w:firstLineChars="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平均无故障工作时间MTBF≥200万小时，具备端到端数据保护、ECC差错校验、坏块自动重映射基础特性。</w:t>
            </w:r>
          </w:p>
          <w:p w14:paraId="685CB8B2">
            <w:pPr>
              <w:spacing w:line="240" w:lineRule="auto"/>
              <w:ind w:left="0" w:leftChars="0" w:firstLine="0" w:firstLineChars="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工作温度0℃～55℃，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存储温度-40℃～85℃。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具备专业抗振动、抗冲击防护设计。</w:t>
            </w:r>
          </w:p>
          <w:p w14:paraId="293228FF">
            <w:pPr>
              <w:spacing w:line="240" w:lineRule="auto"/>
              <w:ind w:left="0" w:leftChars="0" w:firstLine="0" w:firstLineChars="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工作电压：+5 V / +12 V，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工作功耗≤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W，待机功耗≤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W。</w:t>
            </w:r>
          </w:p>
          <w:p w14:paraId="24EAFCF6">
            <w:pPr>
              <w:spacing w:line="240" w:lineRule="auto"/>
              <w:ind w:left="0" w:leftChars="0" w:firstLine="0" w:firstLineChars="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支持通用存储健康状态监测、硬盘磨损度识别、故障主动上报告警功能。</w:t>
            </w:r>
          </w:p>
        </w:tc>
        <w:tc>
          <w:tcPr>
            <w:tcW w:w="760" w:type="dxa"/>
            <w:tcBorders>
              <w:tl2br w:val="nil"/>
              <w:tr2bl w:val="nil"/>
            </w:tcBorders>
            <w:noWrap w:val="0"/>
            <w:vAlign w:val="center"/>
          </w:tcPr>
          <w:p w14:paraId="041096E0">
            <w:pPr>
              <w:spacing w:line="240" w:lineRule="auto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eastAsia="宋体" w:cs="宋体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840" w:type="dxa"/>
            <w:tcBorders>
              <w:tl2br w:val="nil"/>
              <w:tr2bl w:val="nil"/>
            </w:tcBorders>
            <w:noWrap w:val="0"/>
            <w:vAlign w:val="center"/>
          </w:tcPr>
          <w:p w14:paraId="77432F56">
            <w:pPr>
              <w:spacing w:line="240" w:lineRule="auto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 w:cs="宋体"/>
                <w:sz w:val="21"/>
                <w:szCs w:val="21"/>
                <w:lang w:val="en-US" w:eastAsia="zh-CN"/>
              </w:rPr>
              <w:t>块</w:t>
            </w:r>
          </w:p>
        </w:tc>
        <w:tc>
          <w:tcPr>
            <w:tcW w:w="2408" w:type="dxa"/>
            <w:tcBorders>
              <w:tl2br w:val="nil"/>
              <w:tr2bl w:val="nil"/>
            </w:tcBorders>
            <w:noWrap w:val="0"/>
            <w:vAlign w:val="center"/>
          </w:tcPr>
          <w:p w14:paraId="304DC5AE">
            <w:pPr>
              <w:spacing w:line="240" w:lineRule="auto"/>
              <w:ind w:left="0" w:leftChars="0" w:firstLine="0" w:firstLineChars="0"/>
              <w:jc w:val="center"/>
              <w:rPr>
                <w:rFonts w:hint="default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 w:cs="宋体"/>
                <w:sz w:val="21"/>
                <w:szCs w:val="21"/>
                <w:u w:val="single"/>
                <w:lang w:val="en-US" w:eastAsia="zh-CN"/>
              </w:rPr>
              <w:t>投标人请在此处报价</w:t>
            </w:r>
          </w:p>
        </w:tc>
      </w:tr>
      <w:tr w14:paraId="1C36B8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681" w:type="dxa"/>
            <w:tcBorders>
              <w:tl2br w:val="nil"/>
              <w:tr2bl w:val="nil"/>
            </w:tcBorders>
            <w:noWrap/>
            <w:vAlign w:val="center"/>
          </w:tcPr>
          <w:p w14:paraId="1DC6A62F">
            <w:pPr>
              <w:spacing w:line="24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27" w:type="dxa"/>
            <w:tcBorders>
              <w:tl2br w:val="nil"/>
              <w:tr2bl w:val="nil"/>
            </w:tcBorders>
            <w:noWrap/>
            <w:vAlign w:val="center"/>
          </w:tcPr>
          <w:p w14:paraId="4E39386A">
            <w:pPr>
              <w:spacing w:line="24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集成服务</w:t>
            </w:r>
          </w:p>
        </w:tc>
        <w:tc>
          <w:tcPr>
            <w:tcW w:w="4173" w:type="dxa"/>
            <w:tcBorders>
              <w:tl2br w:val="nil"/>
              <w:tr2bl w:val="nil"/>
            </w:tcBorders>
            <w:noWrap w:val="0"/>
            <w:vAlign w:val="center"/>
          </w:tcPr>
          <w:p w14:paraId="69059865">
            <w:pPr>
              <w:spacing w:line="240" w:lineRule="auto"/>
              <w:ind w:left="0" w:leftChars="0" w:firstLine="0" w:firstLineChars="0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1、投标人负责硬盘的安装</w:t>
            </w:r>
            <w:r>
              <w:rPr>
                <w:rFonts w:hint="eastAsia" w:eastAsia="宋体" w:cs="宋体"/>
                <w:sz w:val="21"/>
                <w:szCs w:val="21"/>
                <w:lang w:val="en-US" w:eastAsia="zh-CN"/>
              </w:rPr>
              <w:t>、集成与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调试</w:t>
            </w:r>
            <w:r>
              <w:rPr>
                <w:rFonts w:hint="eastAsia" w:eastAsia="宋体" w:cs="宋体"/>
                <w:sz w:val="21"/>
                <w:szCs w:val="21"/>
                <w:lang w:val="en-US" w:eastAsia="zh-CN"/>
              </w:rPr>
              <w:t>，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与现有双活存储系统对接融合，纳入统一资源池、完成相关系统配置。</w:t>
            </w:r>
            <w:bookmarkStart w:id="0" w:name="_GoBack"/>
            <w:bookmarkEnd w:id="0"/>
          </w:p>
          <w:p w14:paraId="4AF46351">
            <w:pPr>
              <w:spacing w:line="240" w:lineRule="auto"/>
              <w:ind w:left="0" w:leftChars="0" w:firstLine="0" w:firstLineChars="0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2、实施过程须保障院内HIS、LI</w:t>
            </w:r>
            <w:r>
              <w:rPr>
                <w:rFonts w:hint="eastAsia" w:eastAsia="宋体" w:cs="宋体"/>
                <w:sz w:val="21"/>
                <w:szCs w:val="21"/>
                <w:lang w:val="en-US" w:eastAsia="zh-CN"/>
              </w:rPr>
              <w:t>S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、PACS</w:t>
            </w:r>
            <w:r>
              <w:rPr>
                <w:rFonts w:hint="eastAsia" w:eastAsia="宋体" w:cs="宋体"/>
                <w:sz w:val="21"/>
                <w:szCs w:val="21"/>
                <w:lang w:val="en-US" w:eastAsia="zh-CN"/>
              </w:rPr>
              <w:t>、EMR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等</w:t>
            </w:r>
            <w:r>
              <w:rPr>
                <w:rFonts w:hint="eastAsia" w:eastAsia="宋体" w:cs="宋体"/>
                <w:sz w:val="21"/>
                <w:szCs w:val="21"/>
                <w:lang w:val="en-US" w:eastAsia="zh-CN"/>
              </w:rPr>
              <w:t>核心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业务系统7×24小时不中断</w:t>
            </w:r>
            <w:r>
              <w:rPr>
                <w:rFonts w:hint="eastAsia" w:eastAsia="宋体" w:cs="宋体"/>
                <w:sz w:val="21"/>
                <w:szCs w:val="21"/>
                <w:lang w:val="en-US" w:eastAsia="zh-CN"/>
              </w:rPr>
              <w:t>，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无停机影响。</w:t>
            </w:r>
          </w:p>
          <w:p w14:paraId="51F0AB49">
            <w:pPr>
              <w:spacing w:line="240" w:lineRule="auto"/>
              <w:ind w:left="0" w:leftChars="0" w:firstLine="0" w:firstLineChars="0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3、完成存储性能调优、负载均衡适配，确保整体IO性能、读写响应满足业务运行相关要求。</w:t>
            </w:r>
          </w:p>
          <w:p w14:paraId="7360618B">
            <w:pPr>
              <w:spacing w:line="240" w:lineRule="auto"/>
              <w:ind w:left="0" w:leftChars="0" w:firstLine="0" w:firstLineChars="0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4、负责与现有虚拟化集群、</w:t>
            </w:r>
            <w:r>
              <w:rPr>
                <w:rFonts w:hint="eastAsia" w:eastAsia="宋体" w:cs="宋体"/>
                <w:sz w:val="21"/>
                <w:szCs w:val="21"/>
                <w:lang w:val="en-US" w:eastAsia="zh-CN"/>
              </w:rPr>
              <w:t>应用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服务器对接联调，确保新增存储空间可正常挂载、稳定调用。</w:t>
            </w:r>
          </w:p>
          <w:p w14:paraId="3BCBC052">
            <w:pPr>
              <w:spacing w:line="240" w:lineRule="auto"/>
              <w:ind w:left="0" w:leftChars="0" w:firstLine="0" w:firstLineChars="0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 w:cs="宋体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、实施全程做好数据安全防护与风险防控，具备完备实施方案、应急回退预案，出现异常可快速恢复原状。</w:t>
            </w:r>
          </w:p>
          <w:p w14:paraId="30F28D21">
            <w:pPr>
              <w:spacing w:line="240" w:lineRule="auto"/>
              <w:ind w:left="0" w:leftChars="0" w:firstLine="0" w:firstLineChars="0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 w:cs="宋体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、项目实施后须提供完整磁盘配置文档、配置参数清单等资料。负责对采购人进行</w:t>
            </w:r>
            <w:r>
              <w:rPr>
                <w:rFonts w:hint="eastAsia" w:eastAsia="宋体" w:cs="宋体"/>
                <w:sz w:val="21"/>
                <w:szCs w:val="21"/>
                <w:lang w:val="en-US" w:eastAsia="zh-CN"/>
              </w:rPr>
              <w:t>常规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操作、日常监控、硬盘状态</w:t>
            </w:r>
            <w:r>
              <w:rPr>
                <w:rFonts w:hint="eastAsia" w:eastAsia="宋体" w:cs="宋体"/>
                <w:sz w:val="21"/>
                <w:szCs w:val="21"/>
                <w:lang w:val="en-US" w:eastAsia="zh-CN"/>
              </w:rPr>
              <w:t>监测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等技术操作培训。</w:t>
            </w:r>
          </w:p>
          <w:p w14:paraId="54F769A7">
            <w:pPr>
              <w:spacing w:line="240" w:lineRule="auto"/>
              <w:ind w:left="0" w:leftChars="0" w:firstLine="0" w:firstLineChars="0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eastAsia="宋体" w:cs="宋体"/>
                <w:sz w:val="21"/>
                <w:szCs w:val="21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、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提供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年质保服务</w:t>
            </w:r>
            <w:r>
              <w:rPr>
                <w:rFonts w:hint="eastAsia" w:eastAsia="宋体" w:cs="宋体"/>
                <w:sz w:val="21"/>
                <w:szCs w:val="21"/>
                <w:lang w:eastAsia="zh-CN"/>
              </w:rPr>
              <w:t>，</w:t>
            </w:r>
            <w:r>
              <w:rPr>
                <w:rFonts w:hint="eastAsia" w:eastAsia="宋体" w:cs="宋体"/>
                <w:sz w:val="21"/>
                <w:szCs w:val="21"/>
                <w:lang w:val="en-US" w:eastAsia="zh-CN"/>
              </w:rPr>
              <w:t>包含硬盘的1年原厂质保以及存储系统1年维保服务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。</w:t>
            </w:r>
          </w:p>
          <w:p w14:paraId="717D6356">
            <w:pPr>
              <w:spacing w:line="240" w:lineRule="auto"/>
              <w:ind w:left="0" w:leftChars="0" w:firstLine="0" w:firstLineChars="0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 w:cs="宋体"/>
                <w:sz w:val="21"/>
                <w:szCs w:val="21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、</w:t>
            </w:r>
            <w:r>
              <w:rPr>
                <w:rFonts w:hint="eastAsia" w:eastAsia="宋体" w:cs="宋体"/>
                <w:sz w:val="21"/>
                <w:szCs w:val="21"/>
                <w:lang w:val="en-US" w:eastAsia="zh-CN"/>
              </w:rPr>
              <w:t>集成服务的费用已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包含在</w:t>
            </w:r>
            <w:r>
              <w:rPr>
                <w:rFonts w:hint="eastAsia" w:eastAsia="宋体" w:cs="宋体"/>
                <w:sz w:val="21"/>
                <w:szCs w:val="21"/>
                <w:lang w:val="en-US" w:eastAsia="zh-CN"/>
              </w:rPr>
              <w:t>硬盘的报价中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，</w:t>
            </w:r>
            <w:r>
              <w:rPr>
                <w:rFonts w:hint="eastAsia" w:eastAsia="宋体" w:cs="宋体"/>
                <w:sz w:val="21"/>
                <w:szCs w:val="21"/>
                <w:lang w:val="en-US" w:eastAsia="zh-CN"/>
              </w:rPr>
              <w:t>投标人无需再报价。</w:t>
            </w:r>
          </w:p>
        </w:tc>
        <w:tc>
          <w:tcPr>
            <w:tcW w:w="760" w:type="dxa"/>
            <w:tcBorders>
              <w:tl2br w:val="nil"/>
              <w:tr2bl w:val="nil"/>
            </w:tcBorders>
            <w:noWrap w:val="0"/>
            <w:vAlign w:val="center"/>
          </w:tcPr>
          <w:p w14:paraId="3FA88DF6">
            <w:pPr>
              <w:spacing w:line="24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</w:t>
            </w:r>
          </w:p>
        </w:tc>
        <w:tc>
          <w:tcPr>
            <w:tcW w:w="840" w:type="dxa"/>
            <w:tcBorders>
              <w:tl2br w:val="nil"/>
              <w:tr2bl w:val="nil"/>
            </w:tcBorders>
            <w:noWrap w:val="0"/>
            <w:vAlign w:val="center"/>
          </w:tcPr>
          <w:p w14:paraId="710CF9FD">
            <w:pPr>
              <w:spacing w:line="24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项</w:t>
            </w:r>
          </w:p>
        </w:tc>
        <w:tc>
          <w:tcPr>
            <w:tcW w:w="2408" w:type="dxa"/>
            <w:tcBorders>
              <w:tl2br w:val="nil"/>
              <w:tr2bl w:val="nil"/>
            </w:tcBorders>
            <w:noWrap w:val="0"/>
            <w:vAlign w:val="center"/>
          </w:tcPr>
          <w:p w14:paraId="6972977F">
            <w:pPr>
              <w:spacing w:line="240" w:lineRule="auto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 w:cs="宋体"/>
                <w:sz w:val="21"/>
                <w:szCs w:val="21"/>
                <w:lang w:val="en-US" w:eastAsia="zh-CN"/>
              </w:rPr>
              <w:t>0元</w:t>
            </w:r>
          </w:p>
        </w:tc>
      </w:tr>
    </w:tbl>
    <w:p w14:paraId="539D4956">
      <w:pPr>
        <w:spacing w:line="240" w:lineRule="auto"/>
        <w:ind w:left="0" w:leftChars="0" w:firstLine="0" w:firstLineChars="0"/>
        <w:rPr>
          <w:rFonts w:hint="eastAsia" w:ascii="宋体" w:hAnsi="宋体" w:eastAsia="宋体" w:cs="宋体"/>
          <w:sz w:val="21"/>
          <w:szCs w:val="21"/>
        </w:rPr>
      </w:pP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numberInDash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Book Antiqua">
    <w:altName w:val="Segoe Print"/>
    <w:panose1 w:val="02040602050305030304"/>
    <w:charset w:val="00"/>
    <w:family w:val="roman"/>
    <w:pitch w:val="default"/>
    <w:sig w:usb0="00000000" w:usb1="00000000" w:usb2="00000000" w:usb3="00000000" w:csb0="0000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03FBF1">
    <w:pPr>
      <w:pStyle w:val="11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2" name="文本框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732C0F10">
                          <w:pPr>
                            <w:pStyle w:val="11"/>
                          </w:pPr>
                          <w:r>
                            <w:fldChar w:fldCharType="begin"/>
                          </w:r>
                          <w:r>
                            <w:instrText xml:space="preserve">PAGE   \* MERGEFORMAT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lang w:val="zh-CN"/>
                            </w:rPr>
                            <w:t>107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rLIrVMQIAAGU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32C0F10">
                    <w:pPr>
                      <w:pStyle w:val="11"/>
                    </w:pPr>
                    <w:r>
                      <w:fldChar w:fldCharType="begin"/>
                    </w:r>
                    <w:r>
                      <w:instrText xml:space="preserve">PAGE   \* MERGEFORMAT</w:instrText>
                    </w:r>
                    <w:r>
                      <w:fldChar w:fldCharType="separate"/>
                    </w:r>
                    <w:r>
                      <w:rPr>
                        <w:lang w:val="zh-CN"/>
                      </w:rPr>
                      <w:t>107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 w14:paraId="6A3B156E">
    <w:pPr>
      <w:pStyle w:val="1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6C0E8D">
    <w:pPr>
      <w:pStyle w:val="12"/>
      <w:ind w:firstLine="360"/>
      <w:rPr>
        <w:rFonts w:hint="eastAsi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0FBBF5F"/>
    <w:multiLevelType w:val="multilevel"/>
    <w:tmpl w:val="40FBBF5F"/>
    <w:lvl w:ilvl="0" w:tentative="0">
      <w:start w:val="1"/>
      <w:numFmt w:val="chineseCounting"/>
      <w:pStyle w:val="2"/>
      <w:suff w:val="space"/>
      <w:lvlText w:val="第%1章"/>
      <w:lvlJc w:val="left"/>
      <w:pPr>
        <w:tabs>
          <w:tab w:val="left" w:pos="0"/>
        </w:tabs>
        <w:ind w:left="0" w:firstLine="0"/>
      </w:pPr>
      <w:rPr>
        <w:rFonts w:hint="eastAsia" w:ascii="宋体" w:hAnsi="宋体" w:eastAsia="仿宋" w:cs="宋体"/>
        <w:b/>
        <w:bCs/>
        <w:sz w:val="36"/>
        <w:szCs w:val="36"/>
      </w:rPr>
    </w:lvl>
    <w:lvl w:ilvl="1" w:tentative="0">
      <w:start w:val="1"/>
      <w:numFmt w:val="decimal"/>
      <w:pStyle w:val="3"/>
      <w:isLgl/>
      <w:suff w:val="space"/>
      <w:lvlText w:val="%1.%2."/>
      <w:lvlJc w:val="left"/>
      <w:pPr>
        <w:tabs>
          <w:tab w:val="left" w:pos="0"/>
        </w:tabs>
        <w:ind w:left="0" w:firstLine="0"/>
      </w:pPr>
      <w:rPr>
        <w:rFonts w:hint="eastAsia" w:ascii="宋体" w:hAnsi="宋体" w:eastAsia="仿宋" w:cs="宋体"/>
        <w:b/>
        <w:sz w:val="32"/>
      </w:rPr>
    </w:lvl>
    <w:lvl w:ilvl="2" w:tentative="0">
      <w:start w:val="1"/>
      <w:numFmt w:val="decimal"/>
      <w:pStyle w:val="4"/>
      <w:isLgl/>
      <w:suff w:val="space"/>
      <w:lvlText w:val="%1.%2.%3."/>
      <w:lvlJc w:val="left"/>
      <w:pPr>
        <w:tabs>
          <w:tab w:val="left" w:pos="0"/>
        </w:tabs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position w:val="0"/>
        <w:u w:val="none"/>
        <w:vertAlign w:val="baseline"/>
      </w:rPr>
    </w:lvl>
    <w:lvl w:ilvl="3" w:tentative="0">
      <w:start w:val="1"/>
      <w:numFmt w:val="decimal"/>
      <w:pStyle w:val="5"/>
      <w:isLgl/>
      <w:suff w:val="space"/>
      <w:lvlText w:val="%1.%2.%3.%4."/>
      <w:lvlJc w:val="left"/>
      <w:pPr>
        <w:tabs>
          <w:tab w:val="left" w:pos="0"/>
        </w:tabs>
        <w:ind w:left="0" w:firstLine="0"/>
      </w:pPr>
      <w:rPr>
        <w:rFonts w:hint="eastAsia" w:ascii="宋体" w:hAnsi="宋体" w:eastAsia="宋体" w:cs="宋体"/>
        <w:b/>
        <w:sz w:val="28"/>
      </w:rPr>
    </w:lvl>
    <w:lvl w:ilvl="4" w:tentative="0">
      <w:start w:val="1"/>
      <w:numFmt w:val="decimal"/>
      <w:pStyle w:val="6"/>
      <w:isLgl/>
      <w:suff w:val="space"/>
      <w:lvlText w:val="%1.%2.%3.%4.%5."/>
      <w:lvlJc w:val="left"/>
      <w:pPr>
        <w:tabs>
          <w:tab w:val="left" w:pos="709"/>
        </w:tabs>
        <w:ind w:left="709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position w:val="0"/>
        <w:u w:val="none"/>
        <w:vertAlign w:val="baseline"/>
      </w:rPr>
    </w:lvl>
    <w:lvl w:ilvl="5" w:tentative="0">
      <w:start w:val="1"/>
      <w:numFmt w:val="decimal"/>
      <w:isLgl/>
      <w:suff w:val="space"/>
      <w:lvlText w:val="%1.%2.%3.%4.%5.%6."/>
      <w:lvlJc w:val="left"/>
      <w:pPr>
        <w:tabs>
          <w:tab w:val="left" w:pos="0"/>
        </w:tabs>
        <w:ind w:left="0" w:firstLine="0"/>
      </w:pPr>
      <w:rPr>
        <w:rFonts w:hint="eastAsia" w:ascii="宋体" w:hAnsi="宋体" w:eastAsia="仿宋" w:cs="宋体"/>
        <w:b/>
        <w:sz w:val="24"/>
      </w:rPr>
    </w:lvl>
    <w:lvl w:ilvl="6" w:tentative="0">
      <w:start w:val="1"/>
      <w:numFmt w:val="decimal"/>
      <w:isLgl/>
      <w:lvlText w:val="%1.%2.%3.%4.%5.%6.%7."/>
      <w:lvlJc w:val="left"/>
      <w:pPr>
        <w:ind w:left="1296" w:hanging="1296"/>
      </w:pPr>
      <w:rPr>
        <w:rFonts w:hint="eastAsia"/>
      </w:rPr>
    </w:lvl>
    <w:lvl w:ilvl="7" w:tentative="0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eastAsia"/>
      </w:rPr>
    </w:lvl>
    <w:lvl w:ilvl="8" w:tentative="0">
      <w:start w:val="1"/>
      <w:numFmt w:val="decimal"/>
      <w:isLgl/>
      <w:lvlText w:val="%1.%2.%3.%4.%5.%6.%7.%8.%9."/>
      <w:lvlJc w:val="left"/>
      <w:pPr>
        <w:ind w:left="1583" w:hanging="1583"/>
      </w:pPr>
      <w:rPr>
        <w:rFonts w:hint="eastAsia"/>
      </w:rPr>
    </w:lvl>
  </w:abstractNum>
  <w:abstractNum w:abstractNumId="1">
    <w:nsid w:val="4E37518A"/>
    <w:multiLevelType w:val="multilevel"/>
    <w:tmpl w:val="4E37518A"/>
    <w:lvl w:ilvl="0" w:tentative="0">
      <w:start w:val="1"/>
      <w:numFmt w:val="bullet"/>
      <w:lvlText w:val=""/>
      <w:lvlJc w:val="left"/>
      <w:pPr>
        <w:tabs>
          <w:tab w:val="left" w:pos="1134"/>
        </w:tabs>
        <w:ind w:left="1134" w:hanging="510"/>
      </w:pPr>
      <w:rPr>
        <w:rFonts w:hint="default" w:ascii="Symbol" w:hAnsi="Symbol"/>
        <w:b/>
        <w:bCs w:val="0"/>
        <w:i w:val="0"/>
        <w:iCs w:val="0"/>
        <w:color w:val="auto"/>
        <w:sz w:val="20"/>
        <w:szCs w:val="20"/>
      </w:rPr>
    </w:lvl>
    <w:lvl w:ilvl="1" w:tentative="0">
      <w:start w:val="1"/>
      <w:numFmt w:val="bullet"/>
      <w:lvlText w:val=""/>
      <w:lvlJc w:val="left"/>
      <w:pPr>
        <w:tabs>
          <w:tab w:val="left" w:pos="1418"/>
        </w:tabs>
        <w:ind w:left="1418" w:hanging="284"/>
      </w:pPr>
      <w:rPr>
        <w:rFonts w:hint="default" w:ascii="Wingdings" w:hAnsi="Wingdings"/>
        <w:b w:val="0"/>
        <w:bCs w:val="0"/>
        <w:i w:val="0"/>
        <w:iCs w:val="0"/>
        <w:color w:val="auto"/>
        <w:sz w:val="12"/>
        <w:szCs w:val="20"/>
      </w:rPr>
    </w:lvl>
    <w:lvl w:ilvl="2" w:tentative="0">
      <w:start w:val="1"/>
      <w:numFmt w:val="bullet"/>
      <w:lvlText w:val=""/>
      <w:lvlJc w:val="left"/>
      <w:pPr>
        <w:tabs>
          <w:tab w:val="left" w:pos="1701"/>
        </w:tabs>
        <w:ind w:left="1701" w:hanging="283"/>
      </w:pPr>
      <w:rPr>
        <w:rFonts w:hint="default" w:ascii="Symbol" w:hAnsi="Symbol"/>
        <w:b w:val="0"/>
        <w:bCs w:val="0"/>
        <w:i w:val="0"/>
        <w:iCs w:val="0"/>
        <w:color w:val="auto"/>
        <w:sz w:val="20"/>
        <w:szCs w:val="20"/>
      </w:rPr>
    </w:lvl>
    <w:lvl w:ilvl="3" w:tentative="0">
      <w:start w:val="1"/>
      <w:numFmt w:val="bullet"/>
      <w:lvlRestart w:val="0"/>
      <w:lvlText w:val=""/>
      <w:lvlJc w:val="left"/>
      <w:pPr>
        <w:tabs>
          <w:tab w:val="left" w:pos="397"/>
        </w:tabs>
        <w:ind w:left="397" w:hanging="397"/>
      </w:pPr>
      <w:rPr>
        <w:rFonts w:hint="default" w:ascii="Symbol" w:hAnsi="Symbol"/>
        <w:b w:val="0"/>
        <w:bCs w:val="0"/>
        <w:i w:val="0"/>
        <w:iCs w:val="0"/>
        <w:color w:val="auto"/>
        <w:sz w:val="20"/>
        <w:szCs w:val="20"/>
      </w:rPr>
    </w:lvl>
    <w:lvl w:ilvl="4" w:tentative="0">
      <w:start w:val="1"/>
      <w:numFmt w:val="bullet"/>
      <w:lvlText w:val=""/>
      <w:lvlJc w:val="left"/>
      <w:pPr>
        <w:tabs>
          <w:tab w:val="left" w:pos="680"/>
        </w:tabs>
        <w:ind w:left="680" w:hanging="283"/>
      </w:pPr>
      <w:rPr>
        <w:rFonts w:hint="default" w:ascii="Wingdings" w:hAnsi="Wingdings"/>
        <w:b w:val="0"/>
        <w:bCs w:val="0"/>
        <w:i w:val="0"/>
        <w:iCs w:val="0"/>
        <w:color w:val="auto"/>
        <w:sz w:val="10"/>
        <w:szCs w:val="20"/>
      </w:rPr>
    </w:lvl>
    <w:lvl w:ilvl="5" w:tentative="0">
      <w:start w:val="1"/>
      <w:numFmt w:val="bullet"/>
      <w:lvlRestart w:val="0"/>
      <w:lvlText w:val=""/>
      <w:lvlJc w:val="left"/>
      <w:pPr>
        <w:tabs>
          <w:tab w:val="left" w:pos="397"/>
        </w:tabs>
        <w:ind w:left="397" w:hanging="397"/>
      </w:pPr>
      <w:rPr>
        <w:rFonts w:hint="default" w:ascii="Symbol" w:hAnsi="Symbol"/>
        <w:color w:val="auto"/>
        <w:sz w:val="20"/>
        <w:szCs w:val="20"/>
      </w:rPr>
    </w:lvl>
    <w:lvl w:ilvl="6" w:tentative="0">
      <w:start w:val="1"/>
      <w:numFmt w:val="none"/>
      <w:lvlText w:val="%7"/>
      <w:lvlJc w:val="left"/>
      <w:pPr>
        <w:tabs>
          <w:tab w:val="left" w:pos="323"/>
        </w:tabs>
        <w:ind w:left="323" w:firstLine="920"/>
      </w:pPr>
      <w:rPr>
        <w:rFonts w:hint="default"/>
        <w:color w:val="auto"/>
      </w:rPr>
    </w:lvl>
    <w:lvl w:ilvl="7" w:tentative="0">
      <w:start w:val="1"/>
      <w:numFmt w:val="none"/>
      <w:lvlText w:val="%8"/>
      <w:lvlJc w:val="left"/>
      <w:pPr>
        <w:tabs>
          <w:tab w:val="left" w:pos="323"/>
        </w:tabs>
        <w:ind w:left="323" w:firstLine="920"/>
      </w:pPr>
      <w:rPr>
        <w:rFonts w:hint="default"/>
      </w:rPr>
    </w:lvl>
    <w:lvl w:ilvl="8" w:tentative="0">
      <w:start w:val="1"/>
      <w:numFmt w:val="none"/>
      <w:lvlText w:val="%9"/>
      <w:lvlJc w:val="left"/>
      <w:pPr>
        <w:tabs>
          <w:tab w:val="left" w:pos="323"/>
        </w:tabs>
        <w:ind w:left="323" w:firstLine="920"/>
      </w:pPr>
      <w:rPr>
        <w:rFonts w:hint="default"/>
      </w:rPr>
    </w:lvl>
  </w:abstractNum>
  <w:num w:numId="1">
    <w:abstractNumId w:val="0"/>
  </w:num>
  <w:num w:numId="2">
    <w:abstractNumId w:val="1"/>
    <w:lvlOverride w:ilvl="0">
      <w:lvl w:ilvl="0" w:tentative="1">
        <w:start w:val="1"/>
        <w:numFmt w:val="bullet"/>
        <w:pStyle w:val="30"/>
        <w:lvlText w:val=""/>
        <w:lvlJc w:val="left"/>
        <w:pPr>
          <w:tabs>
            <w:tab w:val="left" w:pos="1134"/>
          </w:tabs>
          <w:ind w:left="1134" w:hanging="510"/>
        </w:pPr>
        <w:rPr>
          <w:rFonts w:hint="default" w:ascii="Symbol" w:hAnsi="Symbol"/>
          <w:b/>
          <w:bCs w:val="0"/>
          <w:i w:val="0"/>
          <w:iCs w:val="0"/>
          <w:color w:val="auto"/>
          <w:sz w:val="20"/>
          <w:szCs w:val="20"/>
        </w:rPr>
      </w:lvl>
    </w:lvlOverride>
    <w:lvlOverride w:ilvl="1">
      <w:lvl w:ilvl="1" w:tentative="1">
        <w:start w:val="1"/>
        <w:numFmt w:val="bullet"/>
        <w:lvlText w:val=""/>
        <w:lvlJc w:val="left"/>
        <w:pPr>
          <w:tabs>
            <w:tab w:val="left" w:pos="1418"/>
          </w:tabs>
          <w:ind w:left="1418" w:hanging="284"/>
        </w:pPr>
        <w:rPr>
          <w:rFonts w:hint="default" w:ascii="Wingdings" w:hAnsi="Wingdings"/>
          <w:b w:val="0"/>
          <w:bCs w:val="0"/>
          <w:i w:val="0"/>
          <w:iCs w:val="0"/>
          <w:color w:val="auto"/>
          <w:sz w:val="12"/>
          <w:szCs w:val="20"/>
        </w:rPr>
      </w:lvl>
    </w:lvlOverride>
    <w:lvlOverride w:ilvl="2">
      <w:lvl w:ilvl="2" w:tentative="1">
        <w:start w:val="1"/>
        <w:numFmt w:val="bullet"/>
        <w:lvlText w:val=""/>
        <w:lvlJc w:val="left"/>
        <w:pPr>
          <w:tabs>
            <w:tab w:val="left" w:pos="1701"/>
          </w:tabs>
          <w:ind w:left="1701" w:hanging="283"/>
        </w:pPr>
        <w:rPr>
          <w:rFonts w:hint="default" w:ascii="Symbol" w:hAnsi="Symbol"/>
          <w:b w:val="0"/>
          <w:bCs w:val="0"/>
          <w:i w:val="0"/>
          <w:iCs w:val="0"/>
          <w:color w:val="auto"/>
          <w:sz w:val="20"/>
          <w:szCs w:val="20"/>
        </w:rPr>
      </w:lvl>
    </w:lvlOverride>
    <w:lvlOverride w:ilvl="3">
      <w:lvl w:ilvl="3" w:tentative="1">
        <w:start w:val="1"/>
        <w:numFmt w:val="bullet"/>
        <w:lvlRestart w:val="0"/>
        <w:lvlText w:val=""/>
        <w:lvlJc w:val="left"/>
        <w:pPr>
          <w:tabs>
            <w:tab w:val="left" w:pos="397"/>
          </w:tabs>
          <w:ind w:left="397" w:hanging="397"/>
        </w:pPr>
        <w:rPr>
          <w:rFonts w:hint="default" w:ascii="Symbol" w:hAnsi="Symbol"/>
          <w:b w:val="0"/>
          <w:bCs w:val="0"/>
          <w:i w:val="0"/>
          <w:iCs w:val="0"/>
          <w:color w:val="auto"/>
          <w:sz w:val="20"/>
        </w:rPr>
      </w:lvl>
    </w:lvlOverride>
    <w:lvlOverride w:ilvl="4">
      <w:lvl w:ilvl="4" w:tentative="1">
        <w:start w:val="1"/>
        <w:numFmt w:val="bullet"/>
        <w:lvlText w:val=""/>
        <w:lvlJc w:val="left"/>
        <w:pPr>
          <w:tabs>
            <w:tab w:val="left" w:pos="680"/>
          </w:tabs>
          <w:ind w:left="680" w:hanging="283"/>
        </w:pPr>
        <w:rPr>
          <w:rFonts w:hint="default" w:ascii="Wingdings" w:hAnsi="Wingdings"/>
          <w:b w:val="0"/>
          <w:bCs w:val="0"/>
          <w:i w:val="0"/>
          <w:iCs w:val="0"/>
          <w:color w:val="auto"/>
          <w:sz w:val="10"/>
        </w:rPr>
      </w:lvl>
    </w:lvlOverride>
    <w:lvlOverride w:ilvl="5">
      <w:lvl w:ilvl="5" w:tentative="1">
        <w:start w:val="1"/>
        <w:numFmt w:val="bullet"/>
        <w:lvlRestart w:val="0"/>
        <w:lvlText w:val=""/>
        <w:lvlJc w:val="left"/>
        <w:pPr>
          <w:tabs>
            <w:tab w:val="left" w:pos="397"/>
          </w:tabs>
          <w:ind w:left="397" w:hanging="397"/>
        </w:pPr>
        <w:rPr>
          <w:rFonts w:hint="default" w:ascii="Symbol" w:hAnsi="Symbol"/>
          <w:color w:val="auto"/>
          <w:sz w:val="20"/>
        </w:rPr>
      </w:lvl>
    </w:lvlOverride>
    <w:lvlOverride w:ilvl="6">
      <w:lvl w:ilvl="6" w:tentative="1">
        <w:start w:val="1"/>
        <w:numFmt w:val="none"/>
        <w:lvlText w:val="%7"/>
        <w:lvlJc w:val="left"/>
        <w:pPr>
          <w:tabs>
            <w:tab w:val="left" w:pos="323"/>
          </w:tabs>
          <w:ind w:left="323" w:firstLine="920"/>
        </w:pPr>
        <w:rPr>
          <w:rFonts w:hint="default"/>
          <w:color w:val="auto"/>
        </w:rPr>
      </w:lvl>
    </w:lvlOverride>
    <w:lvlOverride w:ilvl="7">
      <w:lvl w:ilvl="7" w:tentative="1">
        <w:start w:val="1"/>
        <w:numFmt w:val="none"/>
        <w:lvlText w:val="%8"/>
        <w:lvlJc w:val="left"/>
        <w:pPr>
          <w:tabs>
            <w:tab w:val="left" w:pos="323"/>
          </w:tabs>
          <w:ind w:left="323" w:firstLine="920"/>
        </w:pPr>
        <w:rPr>
          <w:rFonts w:hint="default"/>
        </w:rPr>
      </w:lvl>
    </w:lvlOverride>
    <w:lvlOverride w:ilvl="8">
      <w:lvl w:ilvl="8" w:tentative="1">
        <w:start w:val="1"/>
        <w:numFmt w:val="none"/>
        <w:lvlText w:val="%9"/>
        <w:lvlJc w:val="left"/>
        <w:pPr>
          <w:tabs>
            <w:tab w:val="left" w:pos="323"/>
          </w:tabs>
          <w:ind w:left="323" w:firstLine="92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EC5244"/>
    <w:rsid w:val="08A84BF4"/>
    <w:rsid w:val="08A91113"/>
    <w:rsid w:val="0BF30A1A"/>
    <w:rsid w:val="0F154BAB"/>
    <w:rsid w:val="0F6D4236"/>
    <w:rsid w:val="0F765F00"/>
    <w:rsid w:val="10BA1785"/>
    <w:rsid w:val="13104632"/>
    <w:rsid w:val="154C288E"/>
    <w:rsid w:val="15577796"/>
    <w:rsid w:val="16EB2510"/>
    <w:rsid w:val="18705BE8"/>
    <w:rsid w:val="19962C07"/>
    <w:rsid w:val="1A4C59BC"/>
    <w:rsid w:val="1C597F1C"/>
    <w:rsid w:val="211C7C2C"/>
    <w:rsid w:val="23D93F88"/>
    <w:rsid w:val="24B86128"/>
    <w:rsid w:val="2A263B34"/>
    <w:rsid w:val="2B2B5CE0"/>
    <w:rsid w:val="2CA16656"/>
    <w:rsid w:val="2CB76D68"/>
    <w:rsid w:val="2E7A26A0"/>
    <w:rsid w:val="39007C46"/>
    <w:rsid w:val="3B3C4BC3"/>
    <w:rsid w:val="405D3933"/>
    <w:rsid w:val="4191768D"/>
    <w:rsid w:val="42424F1E"/>
    <w:rsid w:val="42FA67AA"/>
    <w:rsid w:val="465E2E46"/>
    <w:rsid w:val="4B3C4185"/>
    <w:rsid w:val="4FAD72E5"/>
    <w:rsid w:val="4FB00DC3"/>
    <w:rsid w:val="50D85F54"/>
    <w:rsid w:val="53B40416"/>
    <w:rsid w:val="56303A06"/>
    <w:rsid w:val="5A9A0CE4"/>
    <w:rsid w:val="66227C0F"/>
    <w:rsid w:val="683055A2"/>
    <w:rsid w:val="68EF1038"/>
    <w:rsid w:val="6C57315B"/>
    <w:rsid w:val="72905AE7"/>
    <w:rsid w:val="77531D7C"/>
    <w:rsid w:val="77B76634"/>
    <w:rsid w:val="7DFD305E"/>
    <w:rsid w:val="7ED34133"/>
    <w:rsid w:val="7F1C188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semiHidden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line="360" w:lineRule="auto"/>
      <w:ind w:firstLine="1044" w:firstLineChars="200"/>
    </w:pPr>
    <w:rPr>
      <w:rFonts w:ascii="宋体" w:hAnsi="宋体" w:eastAsia="仿宋" w:cs="宋体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pageBreakBefore/>
      <w:numPr>
        <w:ilvl w:val="0"/>
        <w:numId w:val="1"/>
      </w:numPr>
      <w:tabs>
        <w:tab w:val="left" w:pos="420"/>
      </w:tabs>
      <w:overflowPunct w:val="0"/>
      <w:spacing w:before="50" w:beforeLines="50" w:after="50" w:afterLines="50"/>
      <w:ind w:firstLineChars="0"/>
      <w:jc w:val="center"/>
      <w:outlineLvl w:val="0"/>
    </w:pPr>
    <w:rPr>
      <w:rFonts w:ascii="Arial" w:hAnsi="Arial" w:cs="Times New Roman"/>
      <w:b/>
      <w:snapToGrid w:val="0"/>
      <w:color w:val="000000"/>
      <w:sz w:val="36"/>
    </w:rPr>
  </w:style>
  <w:style w:type="paragraph" w:styleId="3">
    <w:name w:val="heading 2"/>
    <w:basedOn w:val="1"/>
    <w:next w:val="1"/>
    <w:unhideWhenUsed/>
    <w:qFormat/>
    <w:uiPriority w:val="0"/>
    <w:pPr>
      <w:numPr>
        <w:ilvl w:val="1"/>
        <w:numId w:val="1"/>
      </w:numPr>
      <w:spacing w:before="50" w:beforeLines="50" w:after="50" w:afterLines="50"/>
      <w:ind w:firstLineChars="0"/>
      <w:outlineLvl w:val="1"/>
    </w:pPr>
    <w:rPr>
      <w:rFonts w:hint="eastAsia" w:cs="Times New Roman"/>
      <w:b/>
      <w:bCs/>
      <w:sz w:val="32"/>
      <w:szCs w:val="36"/>
    </w:rPr>
  </w:style>
  <w:style w:type="paragraph" w:styleId="4">
    <w:name w:val="heading 3"/>
    <w:basedOn w:val="1"/>
    <w:next w:val="1"/>
    <w:unhideWhenUsed/>
    <w:qFormat/>
    <w:uiPriority w:val="0"/>
    <w:pPr>
      <w:keepNext/>
      <w:numPr>
        <w:ilvl w:val="2"/>
        <w:numId w:val="1"/>
      </w:numPr>
      <w:tabs>
        <w:tab w:val="left" w:pos="420"/>
      </w:tabs>
      <w:spacing w:before="163" w:beforeLines="50" w:after="163" w:afterLines="50"/>
      <w:ind w:firstLineChars="0"/>
      <w:outlineLvl w:val="2"/>
    </w:pPr>
    <w:rPr>
      <w:b/>
      <w:bCs/>
      <w:sz w:val="30"/>
    </w:rPr>
  </w:style>
  <w:style w:type="paragraph" w:styleId="5">
    <w:name w:val="heading 4"/>
    <w:basedOn w:val="1"/>
    <w:next w:val="1"/>
    <w:unhideWhenUsed/>
    <w:qFormat/>
    <w:uiPriority w:val="0"/>
    <w:pPr>
      <w:numPr>
        <w:ilvl w:val="3"/>
        <w:numId w:val="1"/>
      </w:numPr>
      <w:adjustRightInd/>
      <w:snapToGrid/>
      <w:spacing w:before="160" w:after="160"/>
      <w:ind w:firstLineChars="0"/>
      <w:outlineLvl w:val="3"/>
    </w:pPr>
    <w:rPr>
      <w:rFonts w:ascii="Arial" w:hAnsi="Arial" w:cs="Times New Roman"/>
      <w:b/>
      <w:snapToGrid w:val="0"/>
      <w:color w:val="000000"/>
      <w:sz w:val="28"/>
      <w:szCs w:val="22"/>
    </w:rPr>
  </w:style>
  <w:style w:type="paragraph" w:styleId="6">
    <w:name w:val="heading 5"/>
    <w:basedOn w:val="1"/>
    <w:next w:val="1"/>
    <w:unhideWhenUsed/>
    <w:qFormat/>
    <w:uiPriority w:val="0"/>
    <w:pPr>
      <w:keepNext/>
      <w:keepLines/>
      <w:numPr>
        <w:ilvl w:val="4"/>
        <w:numId w:val="1"/>
      </w:numPr>
      <w:tabs>
        <w:tab w:val="left" w:pos="0"/>
        <w:tab w:val="left" w:pos="420"/>
      </w:tabs>
      <w:spacing w:before="163" w:beforeLines="50" w:after="163" w:afterLines="50"/>
      <w:ind w:firstLineChars="0"/>
      <w:outlineLvl w:val="4"/>
    </w:pPr>
    <w:rPr>
      <w:rFonts w:ascii="Calibri" w:hAnsi="Calibri" w:cs="Times New Roman"/>
      <w:b/>
    </w:rPr>
  </w:style>
  <w:style w:type="character" w:default="1" w:styleId="19">
    <w:name w:val="Default Paragraph Font"/>
    <w:semiHidden/>
    <w:qFormat/>
    <w:uiPriority w:val="0"/>
  </w:style>
  <w:style w:type="table" w:default="1" w:styleId="1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Normal Indent"/>
    <w:basedOn w:val="1"/>
    <w:qFormat/>
    <w:uiPriority w:val="0"/>
    <w:pPr>
      <w:ind w:firstLine="420"/>
    </w:pPr>
  </w:style>
  <w:style w:type="paragraph" w:styleId="8">
    <w:name w:val="Body Text"/>
    <w:basedOn w:val="1"/>
    <w:qFormat/>
    <w:uiPriority w:val="1"/>
    <w:pPr>
      <w:ind w:left="220"/>
    </w:pPr>
    <w:rPr>
      <w:sz w:val="32"/>
      <w:szCs w:val="32"/>
    </w:rPr>
  </w:style>
  <w:style w:type="paragraph" w:styleId="9">
    <w:name w:val="Body Text Indent"/>
    <w:basedOn w:val="1"/>
    <w:qFormat/>
    <w:uiPriority w:val="0"/>
    <w:pPr>
      <w:spacing w:after="120"/>
      <w:ind w:left="420" w:leftChars="200"/>
    </w:pPr>
  </w:style>
  <w:style w:type="paragraph" w:styleId="10">
    <w:name w:val="toc 3"/>
    <w:basedOn w:val="1"/>
    <w:next w:val="1"/>
    <w:qFormat/>
    <w:uiPriority w:val="39"/>
    <w:pPr>
      <w:ind w:left="840" w:leftChars="350" w:firstLine="0" w:firstLineChars="0"/>
    </w:pPr>
    <w:rPr>
      <w:snapToGrid w:val="0"/>
    </w:rPr>
  </w:style>
  <w:style w:type="paragraph" w:styleId="11">
    <w:name w:val="footer"/>
    <w:basedOn w:val="1"/>
    <w:qFormat/>
    <w:uiPriority w:val="99"/>
    <w:pPr>
      <w:tabs>
        <w:tab w:val="center" w:pos="4153"/>
        <w:tab w:val="right" w:pos="8306"/>
      </w:tabs>
      <w:spacing w:line="240" w:lineRule="auto"/>
      <w:ind w:firstLine="0" w:firstLineChars="0"/>
      <w:jc w:val="center"/>
    </w:pPr>
    <w:rPr>
      <w:rFonts w:hint="eastAsia"/>
      <w:snapToGrid w:val="0"/>
      <w:sz w:val="18"/>
    </w:rPr>
  </w:style>
  <w:style w:type="paragraph" w:styleId="12">
    <w:name w:val="header"/>
    <w:basedOn w:val="1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wordWrap w:val="0"/>
      <w:spacing w:line="240" w:lineRule="auto"/>
      <w:ind w:firstLine="0" w:firstLineChars="0"/>
      <w:jc w:val="right"/>
    </w:pPr>
    <w:rPr>
      <w:sz w:val="18"/>
    </w:rPr>
  </w:style>
  <w:style w:type="paragraph" w:styleId="13">
    <w:name w:val="toc 1"/>
    <w:basedOn w:val="1"/>
    <w:next w:val="1"/>
    <w:qFormat/>
    <w:uiPriority w:val="39"/>
    <w:pPr>
      <w:tabs>
        <w:tab w:val="right" w:leader="dot" w:pos="8296"/>
      </w:tabs>
      <w:ind w:firstLine="0" w:firstLineChars="0"/>
    </w:pPr>
    <w:rPr>
      <w:rFonts w:hint="eastAsia"/>
      <w:snapToGrid w:val="0"/>
    </w:rPr>
  </w:style>
  <w:style w:type="paragraph" w:styleId="14">
    <w:name w:val="toc 2"/>
    <w:basedOn w:val="1"/>
    <w:next w:val="1"/>
    <w:qFormat/>
    <w:uiPriority w:val="39"/>
    <w:pPr>
      <w:ind w:left="480" w:leftChars="200" w:firstLine="0" w:firstLineChars="0"/>
    </w:pPr>
    <w:rPr>
      <w:snapToGrid w:val="0"/>
    </w:rPr>
  </w:style>
  <w:style w:type="paragraph" w:styleId="15">
    <w:name w:val="Normal (Web)"/>
    <w:basedOn w:val="1"/>
    <w:unhideWhenUsed/>
    <w:qFormat/>
    <w:uiPriority w:val="99"/>
    <w:pPr>
      <w:spacing w:beforeAutospacing="1" w:afterAutospacing="1"/>
    </w:pPr>
    <w:rPr>
      <w:rFonts w:cs="Times New Roman"/>
    </w:rPr>
  </w:style>
  <w:style w:type="paragraph" w:styleId="16">
    <w:name w:val="Body Text First Indent"/>
    <w:basedOn w:val="8"/>
    <w:unhideWhenUsed/>
    <w:qFormat/>
    <w:uiPriority w:val="99"/>
    <w:pPr>
      <w:ind w:firstLine="420" w:firstLineChars="100"/>
    </w:pPr>
  </w:style>
  <w:style w:type="table" w:styleId="18">
    <w:name w:val="Table Grid"/>
    <w:basedOn w:val="17"/>
    <w:qFormat/>
    <w:uiPriority w:val="39"/>
    <w:rPr>
      <w:rFonts w:ascii="等线" w:hAnsi="等线" w:eastAsia="等线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Hyperlink"/>
    <w:basedOn w:val="19"/>
    <w:unhideWhenUsed/>
    <w:qFormat/>
    <w:uiPriority w:val="99"/>
    <w:rPr>
      <w:color w:val="0563C1"/>
      <w:u w:val="single"/>
    </w:rPr>
  </w:style>
  <w:style w:type="character" w:customStyle="1" w:styleId="21">
    <w:name w:val="apple-converted-space"/>
    <w:qFormat/>
    <w:uiPriority w:val="0"/>
  </w:style>
  <w:style w:type="paragraph" w:styleId="22">
    <w:name w:val="List Paragraph"/>
    <w:basedOn w:val="1"/>
    <w:qFormat/>
    <w:uiPriority w:val="34"/>
    <w:pPr>
      <w:ind w:firstLine="420"/>
    </w:pPr>
  </w:style>
  <w:style w:type="paragraph" w:customStyle="1" w:styleId="23">
    <w:name w:val="*正文"/>
    <w:basedOn w:val="1"/>
    <w:qFormat/>
    <w:uiPriority w:val="0"/>
    <w:pPr>
      <w:ind w:firstLine="480"/>
    </w:pPr>
    <w:rPr>
      <w:szCs w:val="28"/>
    </w:rPr>
  </w:style>
  <w:style w:type="paragraph" w:customStyle="1" w:styleId="24">
    <w:name w:val="正文：样式 首行缩进:  2 字符1"/>
    <w:basedOn w:val="1"/>
    <w:qFormat/>
    <w:uiPriority w:val="0"/>
    <w:pPr>
      <w:ind w:firstLine="561"/>
    </w:pPr>
  </w:style>
  <w:style w:type="paragraph" w:customStyle="1" w:styleId="25">
    <w:name w:val="3级标题_VINCHIN"/>
    <w:basedOn w:val="4"/>
    <w:next w:val="26"/>
    <w:qFormat/>
    <w:uiPriority w:val="0"/>
  </w:style>
  <w:style w:type="paragraph" w:customStyle="1" w:styleId="26">
    <w:name w:val="VC-正文"/>
    <w:basedOn w:val="1"/>
    <w:qFormat/>
    <w:uiPriority w:val="0"/>
    <w:pPr>
      <w:tabs>
        <w:tab w:val="right" w:pos="9031"/>
      </w:tabs>
      <w:autoSpaceDE w:val="0"/>
      <w:autoSpaceDN w:val="0"/>
      <w:spacing w:before="80" w:after="80" w:line="300" w:lineRule="auto"/>
    </w:pPr>
    <w:rPr>
      <w:rFonts w:cs="Times New Roman"/>
    </w:rPr>
  </w:style>
  <w:style w:type="paragraph" w:customStyle="1" w:styleId="27">
    <w:name w:val="标准正文"/>
    <w:basedOn w:val="9"/>
    <w:qFormat/>
    <w:uiPriority w:val="0"/>
    <w:pPr>
      <w:widowControl w:val="0"/>
      <w:adjustRightInd/>
      <w:snapToGrid/>
      <w:spacing w:before="60" w:after="60"/>
      <w:ind w:left="0" w:leftChars="0" w:firstLine="482" w:firstLineChars="0"/>
      <w:jc w:val="both"/>
    </w:pPr>
    <w:rPr>
      <w:rFonts w:ascii="Arial" w:hAnsi="Arial" w:eastAsia="宋体" w:cs="Times New Roman"/>
      <w:szCs w:val="20"/>
    </w:rPr>
  </w:style>
  <w:style w:type="paragraph" w:customStyle="1" w:styleId="28">
    <w:name w:val="FC正文"/>
    <w:basedOn w:val="1"/>
    <w:qFormat/>
    <w:uiPriority w:val="0"/>
    <w:pPr>
      <w:adjustRightInd/>
      <w:spacing w:beforeLines="50"/>
      <w:ind w:firstLine="560"/>
      <w:contextualSpacing/>
      <w:jc w:val="both"/>
    </w:pPr>
    <w:rPr>
      <w:rFonts w:eastAsia="宋体"/>
      <w:kern w:val="2"/>
      <w:szCs w:val="21"/>
    </w:rPr>
  </w:style>
  <w:style w:type="paragraph" w:customStyle="1" w:styleId="29">
    <w:name w:val="Block Label"/>
    <w:basedOn w:val="1"/>
    <w:next w:val="1"/>
    <w:qFormat/>
    <w:uiPriority w:val="0"/>
    <w:pPr>
      <w:keepNext/>
      <w:keepLines/>
      <w:topLinePunct/>
      <w:spacing w:before="300" w:after="80" w:line="240" w:lineRule="atLeast"/>
      <w:ind w:firstLine="0" w:firstLineChars="0"/>
      <w:outlineLvl w:val="3"/>
    </w:pPr>
    <w:rPr>
      <w:rFonts w:ascii="Book Antiqua" w:hAnsi="Book Antiqua" w:eastAsia="黑体" w:cs="Book Antiqua"/>
      <w:bCs/>
      <w:sz w:val="26"/>
      <w:szCs w:val="26"/>
    </w:rPr>
  </w:style>
  <w:style w:type="paragraph" w:customStyle="1" w:styleId="30">
    <w:name w:val="Item List"/>
    <w:basedOn w:val="1"/>
    <w:qFormat/>
    <w:uiPriority w:val="0"/>
    <w:pPr>
      <w:widowControl w:val="0"/>
      <w:numPr>
        <w:ilvl w:val="0"/>
        <w:numId w:val="2"/>
      </w:numPr>
      <w:adjustRightInd/>
      <w:snapToGrid/>
      <w:spacing w:line="240" w:lineRule="auto"/>
      <w:ind w:firstLine="0" w:firstLineChars="0"/>
    </w:pPr>
    <w:rPr>
      <w:rFonts w:ascii="Calibri" w:hAnsi="Calibri" w:eastAsia="宋体" w:cs="Times New Roman"/>
      <w:kern w:val="2"/>
      <w:sz w:val="21"/>
      <w:szCs w:val="22"/>
      <w:lang w:eastAsia="en-US"/>
    </w:rPr>
  </w:style>
  <w:style w:type="paragraph" w:customStyle="1" w:styleId="31">
    <w:name w:val="1正文"/>
    <w:basedOn w:val="1"/>
    <w:qFormat/>
    <w:uiPriority w:val="0"/>
    <w:pPr>
      <w:widowControl w:val="0"/>
      <w:adjustRightInd/>
      <w:snapToGrid/>
      <w:spacing w:line="300" w:lineRule="auto"/>
      <w:ind w:firstLine="0" w:firstLineChars="0"/>
      <w:jc w:val="both"/>
    </w:pPr>
    <w:rPr>
      <w:rFonts w:hAnsi="Arial" w:eastAsia="宋体" w:cs="Times New Roman"/>
      <w:szCs w:val="20"/>
    </w:rPr>
  </w:style>
  <w:style w:type="character" w:customStyle="1" w:styleId="32">
    <w:name w:val="apple-style-span"/>
    <w:basedOn w:val="19"/>
    <w:qFormat/>
    <w:uiPriority w:val="0"/>
  </w:style>
  <w:style w:type="paragraph" w:customStyle="1" w:styleId="33">
    <w:name w:val="Table Text"/>
    <w:basedOn w:val="1"/>
    <w:qFormat/>
    <w:uiPriority w:val="0"/>
    <w:rPr>
      <w:sz w:val="22"/>
      <w:szCs w:val="22"/>
      <w:lang w:eastAsia="en-US"/>
    </w:rPr>
  </w:style>
  <w:style w:type="table" w:customStyle="1" w:styleId="34">
    <w:name w:val="Table Normal"/>
    <w:basedOn w:val="17"/>
    <w:unhideWhenUsed/>
    <w:qFormat/>
    <w:uiPriority w:val="0"/>
    <w:rPr>
      <w:sz w:val="22"/>
      <w:lang w:eastAsia="en-US"/>
    </w:rPr>
    <w:tblPr>
      <w:tblCellMar>
        <w:left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628</Words>
  <Characters>709</Characters>
  <Lines>0</Lines>
  <Paragraphs>0</Paragraphs>
  <TotalTime>20</TotalTime>
  <ScaleCrop>false</ScaleCrop>
  <LinksUpToDate>false</LinksUpToDate>
  <CharactersWithSpaces>720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2026-04-09T07:15:00Z</dcterms:created>
  <dc:creator>cl</dc:creator>
  <cp:lastModifiedBy>Shawn_吴小胜</cp:lastModifiedBy>
  <cp:lastPrinted>2026-05-09T03:46:00Z</cp:lastPrinted>
  <dcterms:modified xsi:type="dcterms:W3CDTF">2026-06-23T08:08:26Z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eyJoZGlkIjoiNTUwMzQ4YjYwNDhhYmYxZjYxZGU3MzZlMTRmZDM4M2IiLCJ1c2VySWQiOiI0NTQ0NTAyNDYifQ==</vt:lpwstr>
  </property>
  <property fmtid="{D5CDD505-2E9C-101B-9397-08002B2CF9AE}" pid="4" name="ICV">
    <vt:lpwstr>2CAD0712F4D644D39330A297DB3CA818_13</vt:lpwstr>
  </property>
</Properties>
</file>