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达州市中西医结合医院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病媒生物防治服务</w:t>
      </w:r>
      <w:r>
        <w:rPr>
          <w:rFonts w:hint="eastAsia" w:ascii="宋体" w:hAnsi="宋体" w:eastAsia="宋体" w:cs="宋体"/>
          <w:lang w:eastAsia="zh-CN"/>
        </w:rPr>
        <w:t>市场调查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我院拟对病媒生物防治服务进行市场调查，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邀请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有资质的供应商参加。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一、一般资格条件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1.具有独立承担民事责任的能力；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2.具有良好的商业信誉和健全的财务会计制度；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3.具有履行合同所必需的设备和专业技术能力；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6.法律法规规定的其他条件；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二、其他资格条件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1、具有有效工商营业执照（营业执照范围需包含有害生物防治内容）。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2、具有安全生产监督管理部门颁发的有效《危险化学品经营许可证》。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三、服务范围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西外院区、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西圣寺路124号家属院、西圣寺巷2号家属院。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报价单</w:t>
      </w:r>
    </w:p>
    <w:tbl>
      <w:tblPr>
        <w:tblStyle w:val="5"/>
        <w:tblW w:w="10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55"/>
        <w:gridCol w:w="1365"/>
        <w:gridCol w:w="1590"/>
        <w:gridCol w:w="159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建筑面积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单价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（元/㎡/年）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总价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西外院区、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西圣寺路124号家属院西圣寺巷2号家属院（包含医院和家属院所有公共区域）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77710.45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西外院区新建大楼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71122.17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749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1、新建大楼按实际投入使用建筑面积及使用天数作为结算依据（以医院通知、实际消杀时间为准）；2、建筑面积以第二住院大楼每层建筑图纸为依据。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五、服务内容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1、实行全年制包干灭鼠、灭蚊、灭蝇、灭蟑工作，环境消杀每季度一次，平时有发现四害随叫随到。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2、负责完成上级部门交办的各项病媒生物防治工作。（如：开展春秋两季灭鼠行动等工作）。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六、服务要求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1、供应商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承诺使用的各种药品、器械均为国家审批合格的产品，针对本项目投入的卫生杀虫剂必须提供农药登记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证和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生产许可证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应严格执行国家消杀技术操作规程，确保安全。选取高效低毒的杀虫灭鼠药物，交替使用，以防抗药性，达到最佳杀灭效果。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3、灭鼠毒饵需提供市、区、县爱卫办的适口性试验安全报告。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4、消杀服务人员应具有有害生物防治员证。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若发现四害危害，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应在接到通知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24小时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内到现场处理。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若故意拖延不处理，按每次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500元承担违约责任，如达到3次或以上，医院有权解除合同。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每次灭治或检查完毕后双方确认签字。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7、在服务期限内，供应商工作人员必须严格遵守医院规章制度，做到不吸烟、不喧哗、不影响医院正常工作秩序。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8、认真做好施工记录，如实反映虫害控制效果及存在的问题。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9、坚持科学配药和安全施药，在灭虫灭鼠的实施过程中做好人畜安全工作和自身防护工作，杜绝中毒和意外事故发生，并承担引发的一切安全责任。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10、市、区爱卫办及疾控中心检查，若病媒生物防治服务项目不达标，按每次500元承担违约责任。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11、提供能够达到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爱卫会发【1997】第 5 号文件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防治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效果为标准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六、服务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以爱卫会发【1997】第 5 号文件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防治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效果为标准；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虫害不足以引起危害为准。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具体标准如下：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灭鼠合格标准：有鼠洞、鼠粪、鼠咬痕、鼠道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鼠征的房间不超过2%，重点部门防鼠设施不合格处不超过5%。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灭蝇合格标准：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①重点部门有蝇房间不超过1%；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②其他部门有蝇房间不超过3%，阳性间平均蝇只不超过3只。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③加工、销售直接入口食品的场所不许发现成蝇；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④蝇类滋生场所得到有效控制，幼虫和蛹的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检出率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不超过3%；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灭蚊合格标准：单位内外环境存水容积和积水中，幼蚊或蛹的阳性率不超过3%。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灭蟑螂合格标准：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①室内有蟑螂成虫的阳性房间不超过3%；有蟑螂房间平均大镰不超过5只，小镰不超过10只；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②有活卵荚房间不超过2%，阳性间活卵荚不超过4只；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③有蟑螂粪便、脱皮。残肢、蟑尸等蟑迹的房间不超过5%。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七、商务要求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pacing w:val="14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一、服务期限：一年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pacing w:val="14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二、结算方式：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合同期满并验收合格后30个工作日支付。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81FF8"/>
    <w:multiLevelType w:val="singleLevel"/>
    <w:tmpl w:val="BD981F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3F651795"/>
    <w:rsid w:val="035C5045"/>
    <w:rsid w:val="0BAA4BF7"/>
    <w:rsid w:val="1ECE27EF"/>
    <w:rsid w:val="22726DA5"/>
    <w:rsid w:val="2ECA30BC"/>
    <w:rsid w:val="3F651795"/>
    <w:rsid w:val="588636D7"/>
    <w:rsid w:val="62DD20E3"/>
    <w:rsid w:val="64EA0FCD"/>
    <w:rsid w:val="78AC6EBC"/>
    <w:rsid w:val="7E47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3"/>
    <w:qFormat/>
    <w:uiPriority w:val="9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2024-03-18T07:38:00Z</dcterms:created>
  <dc:creator>caolinkai</dc:creator>
  <cp:lastModifiedBy>张金月</cp:lastModifiedBy>
  <dcterms:modified xsi:type="dcterms:W3CDTF">2024-04-25T08:36:31Z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594F66FB35B24CE7BAE205E9078FF22A</vt:lpwstr>
  </property>
</Properties>
</file>