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06" w:tblpY="1"/>
        <w:tblOverlap w:val="never"/>
        <w:tblW w:w="48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3" w:hRule="atLeast"/>
        </w:trPr>
        <w:tc>
          <w:tcPr>
            <w:tcW w:w="5000" w:type="pc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棉胎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1.执行标准：GB 18383-2007、GH/T 1020-2000；</w:t>
            </w:r>
          </w:p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2.规格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盖絮220cm*150cm（偏差率±2%）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重量：2.5kg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（偏差率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）；</w:t>
            </w:r>
          </w:p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垫絮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200cm*90cm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（偏差率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±2%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重量：2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（偏差率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3.含杂率≤0.8%；</w:t>
            </w:r>
          </w:p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感官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等级：一级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原棉为三级以上标准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甲醛：甲醛含量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75mg/kg；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.网纱：面纱≥3层，密度≥1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根/10㎝，竖筋≥1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道，左筋≥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道，右筋≥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道；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.研磨率≥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0%；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.短纤维（≤13mm）含量≤25%；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.传播疾病虫、卵：未发现，气味正常；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10.质量要求：梳棉颜色级不低于白棉三级；马克隆值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11.压缩率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40%；回复率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80%；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12.包边：包边宽2cm，整齐、平直、四角方正；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13.技术要求：按标准GB/T35932-2018中5.2要求；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棉胎网线细密均匀，严禁分层制作，铺棉均匀平坦，厚度一致，手感无棉块，包装整齐，无缺花，棉胎外观平展、包边严紧、手感柔软蓬松，无杂物、板结、油污、异味等，达到或优于国家相应的质量技术指标要求。</w:t>
            </w: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1371"/>
        <w:gridCol w:w="1470"/>
        <w:gridCol w:w="175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947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重量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预计数量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</w:t>
            </w:r>
          </w:p>
        </w:tc>
        <w:tc>
          <w:tcPr>
            <w:tcW w:w="2033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盖絮</w:t>
            </w:r>
          </w:p>
        </w:tc>
        <w:tc>
          <w:tcPr>
            <w:tcW w:w="9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2.5kg</w:t>
            </w:r>
          </w:p>
        </w:tc>
        <w:tc>
          <w:tcPr>
            <w:tcW w:w="137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400床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垫絮</w:t>
            </w:r>
          </w:p>
        </w:tc>
        <w:tc>
          <w:tcPr>
            <w:tcW w:w="94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37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400床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t>商务要求：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1.交货地点：按采购人的服务计划清单，将产品按时配送到采购人指定地点。紧急配送时限要求：若遇急件订单，在收到采购人的服务订单需求后，按采购人的服务清单要求，沟通时间内将产品按时配送到采购人指定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2.供货方式：根据医院需求通知供货，不一次性供货；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3.结算方式：以实际发生的需求数量每月结算一次；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4.售后服务：供应商在接到通知后60分钟内做出明确响应和安排；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5.验收标准：严格按照国家相关法律法规执行。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GMwYzEyNTJhODZiNWZiZDE4OGUyNjJjNzhkNmUifQ=="/>
  </w:docVars>
  <w:rsids>
    <w:rsidRoot w:val="7E9C29DD"/>
    <w:rsid w:val="22D95629"/>
    <w:rsid w:val="4B262A12"/>
    <w:rsid w:val="4D7A3BCD"/>
    <w:rsid w:val="58505E06"/>
    <w:rsid w:val="67DD4B2A"/>
    <w:rsid w:val="76DA348F"/>
    <w:rsid w:val="7E9C29DD"/>
    <w:rsid w:val="7ED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1"/>
    <w:basedOn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939</Characters>
  <Lines>0</Lines>
  <Paragraphs>0</Paragraphs>
  <TotalTime>5</TotalTime>
  <ScaleCrop>false</ScaleCrop>
  <LinksUpToDate>false</LinksUpToDate>
  <CharactersWithSpaces>947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2022-07-06T02:06:00Z</dcterms:created>
  <dc:creator>星思宇家纺</dc:creator>
  <cp:lastModifiedBy>WPS_1646959877</cp:lastModifiedBy>
  <dcterms:modified xsi:type="dcterms:W3CDTF">2023-10-11T08:37:37Z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17B61FEA184C48B2AE5E954D419D7529</vt:lpwstr>
  </property>
</Properties>
</file>