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0" w:firstLine="0"/>
        <w:jc w:val="center"/>
        <w:rPr>
          <w:rFonts w:hint="eastAsia"/>
          <w:sz w:val="32"/>
          <w:szCs w:val="32"/>
          <w:lang w:val="en-US" w:eastAsia="zh-CN"/>
        </w:rPr>
      </w:pPr>
      <w:r>
        <w:rPr>
          <w:rFonts w:hint="eastAsia"/>
          <w:sz w:val="32"/>
          <w:szCs w:val="32"/>
          <w:lang w:val="en-US" w:eastAsia="zh-CN"/>
        </w:rPr>
        <w:t>达州市中西医结合医院手术麻醉管理系统项目需求</w:t>
      </w:r>
    </w:p>
    <w:p>
      <w:pPr>
        <w:rPr>
          <w:rFonts w:hint="eastAsia"/>
          <w:lang w:eastAsia="zh-CN"/>
        </w:rPr>
      </w:pPr>
      <w:r>
        <w:rPr>
          <w:rFonts w:hint="eastAsia"/>
          <w:sz w:val="32"/>
          <w:szCs w:val="32"/>
          <w:lang w:val="en-US" w:eastAsia="zh-CN"/>
        </w:rPr>
        <w:t>第一部分：系统主要功能</w:t>
      </w:r>
    </w:p>
    <w:tbl>
      <w:tblPr>
        <w:tblStyle w:val="14"/>
        <w:tblW w:w="10360" w:type="dxa"/>
        <w:jc w:val="center"/>
        <w:tblLayout w:type="autofit"/>
        <w:tblCellMar>
          <w:top w:w="0" w:type="dxa"/>
          <w:left w:w="108" w:type="dxa"/>
          <w:bottom w:w="0" w:type="dxa"/>
          <w:right w:w="108" w:type="dxa"/>
        </w:tblCellMar>
      </w:tblPr>
      <w:tblGrid>
        <w:gridCol w:w="700"/>
        <w:gridCol w:w="2500"/>
        <w:gridCol w:w="2440"/>
        <w:gridCol w:w="4720"/>
      </w:tblGrid>
      <w:tr>
        <w:tblPrEx>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系统名称</w:t>
            </w: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功能名称</w:t>
            </w:r>
          </w:p>
        </w:tc>
        <w:tc>
          <w:tcPr>
            <w:tcW w:w="4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功能说明</w:t>
            </w:r>
          </w:p>
        </w:tc>
      </w:tr>
      <w:tr>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麻醉手术排班管理子系统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手术申请接收功能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批量同步HIS下达的手术申请信息。</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能够接收指定时间段内HIS下达的手术申请信息。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能够支持对多手术科室批量接收手术申请。</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查看临床科室申请的手术申请单详细信息，并显示临床科室对手术的特殊要求。</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手术申请安排功能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能够为手术申请分配手术间。</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为手术申请信息分配麻醉医生。</w:t>
            </w:r>
            <w:r>
              <w:rPr>
                <w:rFonts w:hint="eastAsia" w:ascii="宋体" w:hAnsi="宋体" w:eastAsia="宋体" w:cs="宋体"/>
                <w:kern w:val="0"/>
                <w:sz w:val="22"/>
              </w:rPr>
              <w:br w:type="textWrapping"/>
            </w:r>
            <w:r>
              <w:rPr>
                <w:rFonts w:hint="eastAsia" w:ascii="宋体" w:hAnsi="宋体" w:eastAsia="宋体" w:cs="宋体"/>
                <w:kern w:val="0"/>
                <w:sz w:val="22"/>
              </w:rPr>
              <w:t>为方便分配资源，可以对特别手术进行标识，显示手术的特殊要求等。</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为手术申请安排洗手护士、巡回护士。</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手术通知功能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根据手术安排情况自动生成符合医院要求的患者接送单。提供患者接送单打印。</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根据手术安排情况自动生成符合医院要求的手术通知单。提供手术通知单打印。</w:t>
            </w:r>
          </w:p>
        </w:tc>
      </w:tr>
      <w:tr>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2</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麻醉术前信息管理子系统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手术排班接收功能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快速批量接收HIS已下达的手术排班信息</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系统可提供定时接收、按照指定科室、指定时间段接收等多种方式接收HIS系统的手术排班信息。</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患者术前访视功能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按照医院要求的格式自动生成术前访视单，记录患者基本信息、麻醉方法、术中困难及防范措施，并支持模板套用功能。</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集成HIS系统，查看患者医嘱信息，支持医嘱类型过滤。</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集成LIS系统，查看患者的所有检验报告主记录、检验报告的明细结果。并自动填充到术前访视单中。</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支持调取患者检查检验信息，并可根据患者多次检查结果形成趋势图，辅助医生快速对检查检验结果进行诊断。</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麻醉计划功能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提供麻醉计划单，辅助麻醉医生通过系统查看患者病情、病史，便于拟定患者麻醉计划。</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术前急诊手术管理功能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通过录入患者ID或住院号从HIS系统中提取急诊手术信，可实现快速安排患者进行手术。</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患者知情同意功能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提供患者知情同意书格式，生成麻醉患者知情同意书。提供患者知情同意书打印。</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支持根据患者手术差异，动态展示患者同意书内容。</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术前麻醉评估功能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支持通过系统集成查看患者信息，配合麻醉术前访视结果，辅助麻醉医生快速完成麻醉术前评估及评分功能。</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支持风险评估单分数自动汇总。</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术前讨论功能</w:t>
            </w:r>
          </w:p>
        </w:tc>
        <w:tc>
          <w:tcPr>
            <w:tcW w:w="472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支持在术前调取并集成病人的检验检查等信息，辅助医生进行术前讨论并记录讨论内容。</w:t>
            </w:r>
          </w:p>
        </w:tc>
      </w:tr>
      <w:tr>
        <w:tblPrEx>
          <w:tblCellMar>
            <w:top w:w="0" w:type="dxa"/>
            <w:left w:w="108" w:type="dxa"/>
            <w:bottom w:w="0" w:type="dxa"/>
            <w:right w:w="108" w:type="dxa"/>
          </w:tblCellMar>
        </w:tblPrEx>
        <w:trPr>
          <w:trHeight w:val="312"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3</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麻醉术中信息管理子系统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监护设备体征数据集成功能</w:t>
            </w:r>
          </w:p>
        </w:tc>
        <w:tc>
          <w:tcPr>
            <w:tcW w:w="4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获取监护仪的患者体征信息，如血压、脉搏、心率、SPO2、呼吸频率等患者生命体征信息，并自动将获取到的监护体征数据按医疗规范要求的时间间隔自动在麻醉单上绘制出体征趋势图。数据实时传送到服务器数据库内存储。</w:t>
            </w:r>
          </w:p>
        </w:tc>
      </w:tr>
      <w:tr>
        <w:tblPrEx>
          <w:tblCellMar>
            <w:top w:w="0" w:type="dxa"/>
            <w:left w:w="108" w:type="dxa"/>
            <w:bottom w:w="0" w:type="dxa"/>
            <w:right w:w="108" w:type="dxa"/>
          </w:tblCellMar>
        </w:tblPrEx>
        <w:trPr>
          <w:trHeight w:val="31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支持术中监护体征数据导出。</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支持设置体征参数在麻醉单上的显示方式，提供两种以上不同风格供选择。</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在术中对本手术间床位进行信息监控，当患者出现异常体征时能弹出消息窗发出警示。</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术中麻醉记录 </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自动提取手术安排结果中患者基本信息、手术人员安排信息并填充到麻醉记录单中。</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手术流程以清晰的时间轴方式展现，便于医护人员实时掌握手术目前进程，提高医护人员对手术流程的把控。</w:t>
            </w:r>
          </w:p>
        </w:tc>
      </w:tr>
      <w:tr>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自动获取麻醉医生录入麻醉事件时间作为事件发生时间（或持续事件的起始时间），自动匹配该事件对应的剂量、途径、持续情况。</w:t>
            </w:r>
          </w:p>
        </w:tc>
      </w:tr>
      <w:tr>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支持对连续事件进行倒计时提醒，可设置提醒事件类型及倒计时时长。</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通过下拉菜单、拼音首字母模糊检索出药品、事件字典信息，实现麻醉事件及用药的快速录入。</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在现有用药事件基础上快速追加录入。</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在药品录入时自动匹配录入的药品剂量、浓度、速度单位</w:t>
            </w:r>
          </w:p>
        </w:tc>
      </w:tr>
      <w:tr>
        <w:tblPrEx>
          <w:tblCellMar>
            <w:top w:w="0" w:type="dxa"/>
            <w:left w:w="108" w:type="dxa"/>
            <w:bottom w:w="0" w:type="dxa"/>
            <w:right w:w="108" w:type="dxa"/>
          </w:tblCellMar>
        </w:tblPrEx>
        <w:trPr>
          <w:trHeight w:val="162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配置快捷药品事件栏以及药品常用量，在独立界面以按钮形式展现，实现常用药品、事件的快速录入。</w:t>
            </w:r>
            <w:r>
              <w:rPr>
                <w:rFonts w:hint="eastAsia" w:ascii="宋体" w:hAnsi="宋体" w:eastAsia="宋体" w:cs="宋体"/>
                <w:kern w:val="0"/>
                <w:sz w:val="22"/>
              </w:rPr>
              <w:br w:type="textWrapping"/>
            </w:r>
            <w:r>
              <w:rPr>
                <w:rFonts w:hint="eastAsia" w:ascii="宋体" w:hAnsi="宋体" w:eastAsia="宋体" w:cs="宋体"/>
                <w:kern w:val="0"/>
                <w:sz w:val="22"/>
              </w:rPr>
              <w:t>支持排序，常用的可以配置排在前列。</w:t>
            </w:r>
            <w:r>
              <w:rPr>
                <w:rFonts w:hint="eastAsia" w:ascii="宋体" w:hAnsi="宋体" w:eastAsia="宋体" w:cs="宋体"/>
                <w:kern w:val="0"/>
                <w:sz w:val="22"/>
              </w:rPr>
              <w:br w:type="textWrapping"/>
            </w:r>
            <w:r>
              <w:rPr>
                <w:rFonts w:hint="eastAsia" w:ascii="宋体" w:hAnsi="宋体" w:eastAsia="宋体" w:cs="宋体"/>
                <w:kern w:val="0"/>
                <w:sz w:val="22"/>
              </w:rPr>
              <w:t>支持同一事件或药物的快速复制追加功能。</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支持根据术中登记事件使用频次，动态调整事件显示顺序。</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以公有和私有的方式管理麻醉记录单模板，实现以模板套用的方式辅助麻醉医生快速录入完成麻醉单。</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将术中麻醉操作以数字序号方式标记在治疗序号区域对应时间点，对应麻醉备注区域事件详情。</w:t>
            </w:r>
          </w:p>
        </w:tc>
      </w:tr>
      <w:tr>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设置用户权限对受干扰的体征数据进行修正，并修正后的结果突出显示。</w:t>
            </w:r>
            <w:r>
              <w:rPr>
                <w:rFonts w:hint="eastAsia" w:ascii="宋体" w:hAnsi="宋体" w:eastAsia="宋体" w:cs="宋体"/>
                <w:kern w:val="0"/>
                <w:sz w:val="22"/>
              </w:rPr>
              <w:br w:type="textWrapping"/>
            </w:r>
            <w:r>
              <w:rPr>
                <w:rFonts w:hint="eastAsia" w:ascii="宋体" w:hAnsi="宋体" w:eastAsia="宋体" w:cs="宋体"/>
                <w:kern w:val="0"/>
                <w:sz w:val="22"/>
              </w:rPr>
              <w:t>图形化修改体征的便捷操作。</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能够模拟监护仪对体征参数进行实时动态显示，同时不干扰麻醉记录单趋势图的正常显示。</w:t>
            </w:r>
          </w:p>
        </w:tc>
      </w:tr>
      <w:tr>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支持直接在麻醉记录单上移动鼠标完成术中监护体征曲线的描绘。</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修正前原始数据的保存功能。</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麻醉记录单操作页面可进行放大缩小，调整记录单显示比例，并且缩放后可继续操作录入麻醉记录内容。</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可直接利用鼠标在麻醉记录单上拖动用药，对用药时间及持续时间进行快速调整。</w:t>
            </w:r>
          </w:p>
        </w:tc>
      </w:tr>
      <w:tr>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可直接利用鼠标在麻醉记录单上拖动输血、出量、入量，对发生时间或持续时间进行快速调整。</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rPr>
            </w:pPr>
            <w:r>
              <w:rPr>
                <w:rFonts w:hint="eastAsia" w:ascii="宋体" w:hAnsi="宋体" w:eastAsia="宋体" w:cs="宋体"/>
                <w:kern w:val="0"/>
                <w:sz w:val="22"/>
              </w:rPr>
              <w:t>支持记录输液输血通道通道名称，不同通道以不同颜色区分。</w:t>
            </w:r>
          </w:p>
        </w:tc>
      </w:tr>
      <w:tr>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支持术中出入量汇总支持配置自动计算。</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支持根据患者出手术室情况，麻醉记录单体征数据和持续事件可自动结束。</w:t>
            </w:r>
          </w:p>
        </w:tc>
      </w:tr>
      <w:tr>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密集体征采集功能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术中可对患者体征密集进行监护采集与记录。</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抢救模式</w:t>
            </w:r>
          </w:p>
        </w:tc>
        <w:tc>
          <w:tcPr>
            <w:tcW w:w="472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支持患者抢救模式，体征数据在抢救模式下每一分钟在麻醉记录单上显示一组。</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麻醉医生交班功能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提供麻醉医生接班交班功能登记，并记录交班备注。</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转出手术功能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提供转出手术时，可选择转出至病房、PACU、ICU。</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手术护理记录功能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记录患者手术过程中的护理情况，形成护理记录单。</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手术器械清点功能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记录手术器械的名称及术前、术中关前及关后器械核对后的数量，形成手术清点单。支持通过模板套用录入。</w:t>
            </w:r>
          </w:p>
        </w:tc>
      </w:tr>
      <w:tr>
        <w:tblPrEx>
          <w:tblCellMar>
            <w:top w:w="0" w:type="dxa"/>
            <w:left w:w="108" w:type="dxa"/>
            <w:bottom w:w="0" w:type="dxa"/>
            <w:right w:w="108" w:type="dxa"/>
          </w:tblCellMar>
        </w:tblPrEx>
        <w:trPr>
          <w:trHeight w:val="81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4</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麻醉术后信息管理子系统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术后复苏记录功能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记录术后复苏过程中麻醉用药、事件情况、生命体征等信息，自动生成复苏记录单。</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支持延续麻醉记录单模式，保证术中与复苏的患者数据连贯一致。</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术后手术登记功能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可对术后患者进行手术信息补录，完善手术信息，便于统计。</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术后访视记录功能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按照医院要求的格式生成术后随访单，记录患者术后随访信息。</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术后镇痛记录功能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按照医院要求的格式生成术后镇痛记录单，记录患者术后镇痛效果。</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术后麻醉总结功能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按照医院要求的格式生成麻醉总结记录单，记录对患者的麻醉过程、麻醉效果进行总结。</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术后麻醉评分功能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提供麻醉复苏（Steward苏醒评分）</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提供疼痛评分。</w:t>
            </w:r>
          </w:p>
        </w:tc>
      </w:tr>
      <w:tr>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5</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麻醉手术取消管理子系统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手术取消功能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对未安排的手术申请可以进行取消操作。</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对已经安排的手术、手术人员、麻醉人员进行修改或者撤销手术，记录取消的手术的原因，并进行统计。</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对麻醉已经开始的手术进行取消，支持取消原因快捷录入或者手工录入。可对该手术进行特殊标识，并能记录麻醉工作量。</w:t>
            </w:r>
          </w:p>
        </w:tc>
      </w:tr>
      <w:tr>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6</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麻醉手术病案管理子系统</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病案打印功能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可对患者病案进行单独打印和集中打印。</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病案归档功能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可打印患者的麻醉相关病案，打印病案后自动完成病案归档。</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显示病案归档时间和归档状态。</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病案提交提醒功能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支持病案的自动归档和未归档提醒，支持对指定时间未归档的信息进行提醒，支持指定自动归档时间。</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病案完整性校验功能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在提交病案时进行提醒，可检查指定时间范围内所有患者的病案提交的完整情况,便于科室检查病案提交工作。</w:t>
            </w:r>
          </w:p>
        </w:tc>
      </w:tr>
      <w:tr>
        <w:tblPrEx>
          <w:tblCellMar>
            <w:top w:w="0" w:type="dxa"/>
            <w:left w:w="108" w:type="dxa"/>
            <w:bottom w:w="0" w:type="dxa"/>
            <w:right w:w="108" w:type="dxa"/>
          </w:tblCellMar>
        </w:tblPrEx>
        <w:trPr>
          <w:trHeight w:val="108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病案变更审核功能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在完成麻醉病案提交后的文档将自动封存，提交后的病案不允许编辑、修改。</w:t>
            </w:r>
            <w:r>
              <w:rPr>
                <w:rFonts w:hint="eastAsia" w:ascii="宋体" w:hAnsi="宋体" w:eastAsia="宋体" w:cs="宋体"/>
                <w:kern w:val="0"/>
                <w:sz w:val="22"/>
              </w:rPr>
              <w:br w:type="textWrapping"/>
            </w:r>
            <w:r>
              <w:rPr>
                <w:rFonts w:hint="eastAsia" w:ascii="宋体" w:hAnsi="宋体" w:eastAsia="宋体" w:cs="宋体"/>
                <w:kern w:val="0"/>
                <w:sz w:val="22"/>
              </w:rPr>
              <w:t>提供管理员权限能够修改病案信息，并记录操作。</w:t>
            </w:r>
          </w:p>
        </w:tc>
      </w:tr>
      <w:tr>
        <w:tblPrEx>
          <w:tblCellMar>
            <w:top w:w="0" w:type="dxa"/>
            <w:left w:w="108" w:type="dxa"/>
            <w:bottom w:w="0" w:type="dxa"/>
            <w:right w:w="108" w:type="dxa"/>
          </w:tblCellMar>
        </w:tblPrEx>
        <w:trPr>
          <w:trHeight w:val="135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病案追溯功能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病案独立管理功能模块支持各个病案文书的独立权限开放，方便对各个病案文书进行独立管理。</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麻醉病程回顾功能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提供检索功能，辅助快速查询指定患者病案信息。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查阅指定患者历史住院的手术麻醉记录。</w:t>
            </w:r>
          </w:p>
        </w:tc>
      </w:tr>
      <w:tr>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信息查阅功能</w:t>
            </w:r>
          </w:p>
        </w:tc>
        <w:tc>
          <w:tcPr>
            <w:tcW w:w="4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浏览指定患者所有的麻醉病案，支持浏览器在院内任意电脑终端查看患者的完整麻醉医疗文书。</w:t>
            </w:r>
            <w:r>
              <w:rPr>
                <w:rFonts w:hint="eastAsia" w:ascii="宋体" w:hAnsi="宋体" w:eastAsia="宋体" w:cs="宋体"/>
                <w:kern w:val="0"/>
                <w:sz w:val="22"/>
              </w:rPr>
              <w:br w:type="textWrapping"/>
            </w:r>
            <w:r>
              <w:rPr>
                <w:rFonts w:hint="eastAsia" w:ascii="宋体" w:hAnsi="宋体" w:eastAsia="宋体" w:cs="宋体"/>
                <w:kern w:val="0"/>
                <w:sz w:val="22"/>
              </w:rPr>
              <w:t>支持查看医生给患者下的医嘱信息。</w:t>
            </w:r>
            <w:r>
              <w:rPr>
                <w:rFonts w:hint="eastAsia" w:ascii="宋体" w:hAnsi="宋体" w:eastAsia="宋体" w:cs="宋体"/>
                <w:kern w:val="0"/>
                <w:sz w:val="22"/>
              </w:rPr>
              <w:br w:type="textWrapping"/>
            </w:r>
            <w:r>
              <w:rPr>
                <w:rFonts w:hint="eastAsia" w:ascii="宋体" w:hAnsi="宋体" w:eastAsia="宋体" w:cs="宋体"/>
                <w:kern w:val="0"/>
                <w:sz w:val="22"/>
              </w:rPr>
              <w:t>支持查看患者的检验信息。</w:t>
            </w:r>
            <w:r>
              <w:rPr>
                <w:rFonts w:hint="eastAsia" w:ascii="宋体" w:hAnsi="宋体" w:eastAsia="宋体" w:cs="宋体"/>
                <w:kern w:val="0"/>
                <w:sz w:val="22"/>
              </w:rPr>
              <w:br w:type="textWrapping"/>
            </w:r>
            <w:r>
              <w:rPr>
                <w:rFonts w:hint="eastAsia" w:ascii="宋体" w:hAnsi="宋体" w:eastAsia="宋体" w:cs="宋体"/>
                <w:kern w:val="0"/>
                <w:sz w:val="22"/>
              </w:rPr>
              <w:t>支持查看患者的检查信息。</w:t>
            </w:r>
            <w:r>
              <w:rPr>
                <w:rFonts w:hint="eastAsia" w:ascii="宋体" w:hAnsi="宋体" w:eastAsia="宋体" w:cs="宋体"/>
                <w:kern w:val="0"/>
                <w:sz w:val="22"/>
              </w:rPr>
              <w:br w:type="textWrapping"/>
            </w:r>
            <w:r>
              <w:rPr>
                <w:rFonts w:hint="eastAsia" w:ascii="宋体" w:hAnsi="宋体" w:eastAsia="宋体" w:cs="宋体"/>
                <w:kern w:val="0"/>
                <w:sz w:val="22"/>
              </w:rPr>
              <w:t>支持查看患者住院期间的所有麻醉病历。</w:t>
            </w:r>
          </w:p>
        </w:tc>
      </w:tr>
      <w:tr>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4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7</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麻醉系统支撑平台子系统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支持WEB services、视图等多种集成方式。</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集成HIS系统，查看患者基本信息、医嘱信息、住院信息、手术申请信息，支持医嘱类型过滤。</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设备数据接口基本功能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能获取监护仪上的血压、脉搏、心率、SPO2等患者生命体征信息。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记录断网情况下的当台患者体征数据。</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维护基础信息功能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支持通过HIS更新本地字典。</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支持用户手工维护本地字典。</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支持维护医护人员、诊断、麻醉分级等基本字典信息。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支持维护科室手术间。</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配置麻醉记录字典，包括麻醉事件、麻醉常用量、麻醉方法。</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文书模板管理功能</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支持将现有医疗文书内容保存为模板。</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支持快速套用系统维护的医疗文书模版。</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支持配置文书模板，包括麻醉记录模板、访视、总结模板。</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支持管理员对公有模板进行编辑维护。</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支持麻醉医生创建私有模板，仅限创建者可见。</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系统安全与数据维护</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离线保存断网期间采集的体征数据。</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提供数据库备份机制（Rman），定期对数据进行备份。</w:t>
            </w:r>
          </w:p>
        </w:tc>
      </w:tr>
      <w:tr>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8</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麻醉用户权限管理子系统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系统角色管理</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为指定用户分配角色以获得相应的程序访问权限。</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编辑系统角色的名称，用于分配一系列的程序功能访问权限。</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系统用户管理</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根据医院信息化管理的要求创建用户，包括登陆用户名、密码及所在科室。</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修改指定用户的登陆密码。</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系统权限管理</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分配指定角色所具备的系统权限。</w:t>
            </w:r>
          </w:p>
        </w:tc>
      </w:tr>
      <w:tr>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9</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麻醉围术期管理决策平台子系统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工作量统计</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统计指定时间段内麻醉医生麻醉台数及麻醉时长，反映其工作量。</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统计指定时间段内护士作为不同角色参与的手术例数及手术时长，反映其工作量。</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统计指定时间段内手术医生手术例数及手术时长，反映其工作量</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统计指定时间段临床科室手术量，自动生成日/月/季/年报表。</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科室统计</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统计指定日期范围内的ASA不同等级的例数。</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统计指定时间段内全科或者指定医生不同麻醉方法的手术例数。</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查询指定日期内所有手术的麻醉相关详细信息，自动生成科室日/月/季/年报表。</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综合业务统计</w:t>
            </w: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查询指定患者信息、医护人员、科室、手术时间、手术状态、麻醉效果条件的手术详细信息。</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查询指定日期内所有取消的手术情况查询，以手术安排时间进行统计。</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统计指定日期内的所有入PACU手术的详情信息。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查询所有进行术后镇痛手术的详细信息。</w:t>
            </w:r>
          </w:p>
        </w:tc>
      </w:tr>
      <w:tr>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统计指定时间段内每天第一台择期手术的详细信息，可以选择是否按第一台择期手术。</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查询某段时间手术患者中当次入院做过多次手术的手术详细信息。</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统计指定时间段内手术的用血情况。</w:t>
            </w:r>
          </w:p>
        </w:tc>
      </w:tr>
      <w:tr>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4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查询指定时间段内不良事件详细信息。</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报表导出功能</w:t>
            </w:r>
          </w:p>
        </w:tc>
        <w:tc>
          <w:tcPr>
            <w:tcW w:w="4720"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支持统计查询结果导出为EXCEL格式报表。</w:t>
            </w:r>
          </w:p>
        </w:tc>
      </w:tr>
      <w:tr>
        <w:tblPrEx>
          <w:tblCellMar>
            <w:top w:w="0" w:type="dxa"/>
            <w:left w:w="108" w:type="dxa"/>
            <w:bottom w:w="0" w:type="dxa"/>
            <w:right w:w="108" w:type="dxa"/>
          </w:tblCellMar>
        </w:tblPrEx>
        <w:trPr>
          <w:trHeight w:val="540" w:hRule="atLeast"/>
          <w:jc w:val="center"/>
        </w:trPr>
        <w:tc>
          <w:tcPr>
            <w:tcW w:w="700"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10</w:t>
            </w:r>
          </w:p>
        </w:tc>
        <w:tc>
          <w:tcPr>
            <w:tcW w:w="2500"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麻醉信息安全等级保护管理</w:t>
            </w:r>
          </w:p>
        </w:tc>
        <w:tc>
          <w:tcPr>
            <w:tcW w:w="2440" w:type="dxa"/>
            <w:vMerge w:val="restart"/>
            <w:tcBorders>
              <w:top w:val="single" w:color="auto" w:sz="4" w:space="0"/>
              <w:left w:val="nil"/>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登录验证规则设置功能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支持对口令密码验证进行配置，包括启用配置，登录口令规则配置、登录失败锁定配置。</w:t>
            </w:r>
          </w:p>
        </w:tc>
      </w:tr>
      <w:tr>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vMerge w:val="continue"/>
            <w:tcBorders>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p>
        </w:tc>
        <w:tc>
          <w:tcPr>
            <w:tcW w:w="47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支持对同一设备和同一用户多次登录系统进行连接限制配置。</w:t>
            </w:r>
          </w:p>
        </w:tc>
      </w:tr>
      <w:tr>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信息安全保护功能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支持对用户信息进行加密保护，定时清理无效缓存信息，并对关键信息进行提示和预警。</w:t>
            </w:r>
          </w:p>
        </w:tc>
      </w:tr>
      <w:tr>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244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密码管理功能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kern w:val="0"/>
                <w:sz w:val="22"/>
                <w:szCs w:val="22"/>
              </w:rPr>
            </w:pPr>
            <w:r>
              <w:rPr>
                <w:rFonts w:hint="eastAsia" w:ascii="宋体" w:hAnsi="宋体" w:eastAsia="宋体" w:cs="宋体"/>
                <w:kern w:val="0"/>
                <w:sz w:val="22"/>
                <w:szCs w:val="22"/>
              </w:rPr>
              <w:t>支持使用密码策略对用户信息进行保护。</w:t>
            </w:r>
          </w:p>
        </w:tc>
      </w:tr>
      <w:tr>
        <w:tblPrEx>
          <w:tblCellMar>
            <w:top w:w="0" w:type="dxa"/>
            <w:left w:w="108" w:type="dxa"/>
            <w:bottom w:w="0" w:type="dxa"/>
            <w:right w:w="108" w:type="dxa"/>
          </w:tblCellMar>
        </w:tblPrEx>
        <w:trPr>
          <w:trHeight w:val="540" w:hRule="atLeast"/>
          <w:jc w:val="center"/>
        </w:trPr>
        <w:tc>
          <w:tcPr>
            <w:tcW w:w="700" w:type="dxa"/>
            <w:tcBorders>
              <w:left w:val="single" w:color="auto" w:sz="4" w:space="0"/>
              <w:bottom w:val="single" w:color="auto" w:sz="4" w:space="0"/>
              <w:right w:val="single" w:color="auto" w:sz="4" w:space="0"/>
            </w:tcBorders>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11</w:t>
            </w:r>
          </w:p>
        </w:tc>
        <w:tc>
          <w:tcPr>
            <w:tcW w:w="2500" w:type="dxa"/>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麻醉质控系统</w:t>
            </w:r>
          </w:p>
        </w:tc>
        <w:tc>
          <w:tcPr>
            <w:tcW w:w="2440"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质控数据统计功能</w:t>
            </w:r>
          </w:p>
        </w:tc>
        <w:tc>
          <w:tcPr>
            <w:tcW w:w="4720"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根据《麻醉专业医疗质量控制指标》同步更新麻醉质控指标，并进行数据抓取，形成质控文书</w:t>
            </w:r>
          </w:p>
        </w:tc>
      </w:tr>
      <w:tr>
        <w:tblPrEx>
          <w:tblCellMar>
            <w:top w:w="0" w:type="dxa"/>
            <w:left w:w="108" w:type="dxa"/>
            <w:bottom w:w="0" w:type="dxa"/>
            <w:right w:w="108" w:type="dxa"/>
          </w:tblCellMar>
        </w:tblPrEx>
        <w:trPr>
          <w:trHeight w:val="540" w:hRule="atLeast"/>
          <w:jc w:val="center"/>
        </w:trPr>
        <w:tc>
          <w:tcPr>
            <w:tcW w:w="700" w:type="dxa"/>
            <w:vMerge w:val="restart"/>
            <w:tcBorders>
              <w:top w:val="single" w:color="auto" w:sz="4" w:space="0"/>
              <w:left w:val="single" w:color="auto" w:sz="4" w:space="0"/>
              <w:right w:val="single" w:color="auto" w:sz="4" w:space="0"/>
            </w:tcBorders>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12</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0"/>
                <w:szCs w:val="10"/>
                <w:lang w:eastAsia="zh-CN"/>
              </w:rPr>
            </w:pPr>
            <w:r>
              <w:rPr>
                <w:rFonts w:hint="eastAsia" w:ascii="宋体" w:hAnsi="宋体" w:eastAsia="宋体" w:cs="宋体"/>
                <w:b/>
                <w:bCs/>
                <w:kern w:val="0"/>
                <w:sz w:val="24"/>
                <w:szCs w:val="24"/>
                <w:lang w:eastAsia="zh-CN"/>
              </w:rPr>
              <w:t>配套硬件要求</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themeColor="text1"/>
                <w:kern w:val="0"/>
                <w:sz w:val="22"/>
                <w:szCs w:val="22"/>
                <w:lang w:eastAsia="zh-CN"/>
              </w:rPr>
            </w:pPr>
            <w:r>
              <w:rPr>
                <w:rFonts w:hint="eastAsia" w:asciiTheme="minorEastAsia" w:hAnsiTheme="minorEastAsia" w:eastAsiaTheme="minorEastAsia" w:cstheme="minorEastAsia"/>
                <w:color w:val="000000" w:themeColor="text1"/>
                <w:kern w:val="0"/>
                <w:sz w:val="22"/>
                <w:szCs w:val="22"/>
                <w:lang w:eastAsia="zh-CN"/>
              </w:rPr>
              <w:t>一体机支架</w:t>
            </w:r>
          </w:p>
          <w:p>
            <w:pPr>
              <w:jc w:val="left"/>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color w:val="FF0000"/>
                <w:kern w:val="0"/>
                <w:sz w:val="22"/>
                <w:szCs w:val="22"/>
                <w:lang w:eastAsia="zh-CN"/>
              </w:rPr>
              <w:t>（</w:t>
            </w:r>
            <w:r>
              <w:rPr>
                <w:rFonts w:hint="eastAsia" w:asciiTheme="minorEastAsia" w:hAnsiTheme="minorEastAsia" w:eastAsiaTheme="minorEastAsia" w:cstheme="minorEastAsia"/>
                <w:color w:val="FF0000"/>
                <w:kern w:val="0"/>
                <w:sz w:val="22"/>
                <w:szCs w:val="22"/>
                <w:lang w:val="en-US" w:eastAsia="zh-CN"/>
              </w:rPr>
              <w:t>17套</w:t>
            </w:r>
            <w:r>
              <w:rPr>
                <w:rFonts w:hint="eastAsia" w:asciiTheme="minorEastAsia" w:hAnsiTheme="minorEastAsia" w:eastAsiaTheme="minorEastAsia" w:cstheme="minorEastAsia"/>
                <w:color w:val="FF0000"/>
                <w:kern w:val="0"/>
                <w:sz w:val="22"/>
                <w:szCs w:val="22"/>
                <w:lang w:eastAsia="zh-CN"/>
              </w:rPr>
              <w:t>）</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1）立体式,集显示器、键盘鼠标于一体的单臂支架；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2）主体材质由防锈铝合金／ 阻燃ABS塑胶／钢等结构组成；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3）支持≤24″的显示器，承重2-8kg，LCD倾斜-5〜35°，摆动+/- 90°,旋转360°,VESA标准接口；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4）键盘托可折叠，键盘托承重2.5kg,摆动360°,倾斜0〜90°；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5）显示器可以单独升降124mm,整体升降560mm,支臂调节角度-30〜65°。</w:t>
            </w:r>
          </w:p>
        </w:tc>
      </w:tr>
      <w:tr>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0"/>
                <w:szCs w:val="10"/>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一体机工作站</w:t>
            </w:r>
          </w:p>
          <w:p>
            <w:pP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color w:val="FF0000"/>
                <w:kern w:val="0"/>
                <w:sz w:val="22"/>
                <w:szCs w:val="22"/>
                <w:lang w:eastAsia="zh-CN"/>
              </w:rPr>
              <w:t>（</w:t>
            </w:r>
            <w:r>
              <w:rPr>
                <w:rFonts w:hint="eastAsia" w:asciiTheme="minorEastAsia" w:hAnsiTheme="minorEastAsia" w:eastAsiaTheme="minorEastAsia" w:cstheme="minorEastAsia"/>
                <w:color w:val="FF0000"/>
                <w:kern w:val="0"/>
                <w:sz w:val="22"/>
                <w:szCs w:val="22"/>
                <w:lang w:val="en-US" w:eastAsia="zh-CN"/>
              </w:rPr>
              <w:t>17台</w:t>
            </w:r>
            <w:r>
              <w:rPr>
                <w:rFonts w:hint="eastAsia" w:asciiTheme="minorEastAsia" w:hAnsiTheme="minorEastAsia" w:eastAsiaTheme="minorEastAsia" w:cstheme="minorEastAsia"/>
                <w:color w:val="FF0000"/>
                <w:kern w:val="0"/>
                <w:sz w:val="22"/>
                <w:szCs w:val="22"/>
                <w:lang w:eastAsia="zh-CN"/>
              </w:rPr>
              <w:t>）</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主频≥2.9GHz；内存≥</w:t>
            </w:r>
            <w:r>
              <w:rPr>
                <w:rFonts w:hint="eastAsia" w:asciiTheme="minorEastAsia" w:hAnsiTheme="minorEastAsia" w:eastAsiaTheme="minorEastAsia" w:cstheme="minorEastAsia"/>
                <w:i w:val="0"/>
                <w:iCs w:val="0"/>
                <w:color w:val="FF0000"/>
                <w:kern w:val="0"/>
                <w:sz w:val="22"/>
                <w:szCs w:val="22"/>
                <w:u w:val="none"/>
                <w:lang w:val="en-US" w:eastAsia="zh-CN" w:bidi="ar"/>
              </w:rPr>
              <w:t>8G</w:t>
            </w:r>
            <w:r>
              <w:rPr>
                <w:rFonts w:hint="eastAsia" w:asciiTheme="minorEastAsia" w:hAnsiTheme="minorEastAsia" w:eastAsiaTheme="minorEastAsia" w:cstheme="minorEastAsia"/>
                <w:i w:val="0"/>
                <w:iCs w:val="0"/>
                <w:color w:val="000000"/>
                <w:kern w:val="0"/>
                <w:sz w:val="22"/>
                <w:szCs w:val="22"/>
                <w:u w:val="none"/>
                <w:lang w:val="en-US" w:eastAsia="zh-CN" w:bidi="ar"/>
              </w:rPr>
              <w:t>；储存≥</w:t>
            </w:r>
            <w:r>
              <w:rPr>
                <w:rFonts w:hint="eastAsia" w:asciiTheme="minorEastAsia" w:hAnsiTheme="minorEastAsia" w:eastAsiaTheme="minorEastAsia" w:cstheme="minorEastAsia"/>
                <w:i w:val="0"/>
                <w:iCs w:val="0"/>
                <w:color w:val="FF0000"/>
                <w:kern w:val="0"/>
                <w:sz w:val="22"/>
                <w:szCs w:val="22"/>
                <w:u w:val="none"/>
                <w:lang w:val="en-US" w:eastAsia="zh-CN" w:bidi="ar"/>
              </w:rPr>
              <w:t>128G SSD</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2）操作系统：可支持安装Windows10系统；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3）显示屏≥21.5英寸TFT液晶显示屏；屏幕分辨率≥1920×1080；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4）网络：双千兆网口，以太网10/100/1000MBBase-TLAN;Wi-Fi 802.11ac, 2.4GHz/5GHzdualband；</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5）蓝牙：Bluetooth4.0LE；USB3.0*2;USB2.0*2;COM口*1；音频接口*1；配USB键盘及鼠标。</w:t>
            </w:r>
          </w:p>
          <w:p>
            <w:pPr>
              <w:numPr>
                <w:ilvl w:val="0"/>
                <w:numId w:val="0"/>
              </w:numP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6）材质：满足手术室环境要求</w:t>
            </w:r>
          </w:p>
        </w:tc>
      </w:tr>
      <w:tr>
        <w:tblPrEx>
          <w:tblCellMar>
            <w:top w:w="0" w:type="dxa"/>
            <w:left w:w="108" w:type="dxa"/>
            <w:bottom w:w="0" w:type="dxa"/>
            <w:right w:w="108" w:type="dxa"/>
          </w:tblCellMar>
        </w:tblPrEx>
        <w:trPr>
          <w:trHeight w:val="54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13</w:t>
            </w:r>
            <w:bookmarkStart w:id="0" w:name="_GoBack"/>
            <w:bookmarkEnd w:id="0"/>
          </w:p>
        </w:tc>
        <w:tc>
          <w:tcPr>
            <w:tcW w:w="25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0"/>
                <w:szCs w:val="10"/>
                <w:lang w:eastAsia="zh-CN"/>
              </w:rPr>
            </w:pPr>
            <w:r>
              <w:rPr>
                <w:rFonts w:hint="eastAsia" w:ascii="宋体" w:hAnsi="宋体" w:eastAsia="宋体" w:cs="宋体"/>
                <w:b/>
                <w:bCs/>
                <w:kern w:val="0"/>
                <w:sz w:val="24"/>
                <w:szCs w:val="24"/>
                <w:lang w:eastAsia="zh-CN"/>
              </w:rPr>
              <w:t>辅材要求</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专用连接数线</w:t>
            </w:r>
          </w:p>
          <w:p>
            <w:pP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FF0000"/>
                <w:kern w:val="0"/>
                <w:sz w:val="22"/>
                <w:szCs w:val="22"/>
                <w:u w:val="none"/>
                <w:lang w:val="en-US" w:eastAsia="zh-CN" w:bidi="ar"/>
              </w:rPr>
              <w:t>（1批）</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医疗设备数据通讯线，用于连接监护仪、麻醉机等</w:t>
            </w:r>
          </w:p>
        </w:tc>
      </w:tr>
    </w:tbl>
    <w:p>
      <w:pPr>
        <w:widowControl/>
        <w:jc w:val="left"/>
        <w:rPr>
          <w:rFonts w:hint="eastAsia" w:asciiTheme="minorEastAsia" w:hAnsiTheme="minorEastAsia" w:eastAsiaTheme="minorEastAsia" w:cstheme="minorEastAsia"/>
          <w:color w:val="000000" w:themeColor="text1"/>
          <w:sz w:val="32"/>
          <w:szCs w:val="32"/>
          <w:lang w:eastAsia="zh-CN"/>
        </w:rPr>
      </w:pPr>
      <w:r>
        <w:rPr>
          <w:rFonts w:hint="eastAsia" w:asciiTheme="minorEastAsia" w:hAnsiTheme="minorEastAsia" w:eastAsiaTheme="minorEastAsia" w:cstheme="minorEastAsia"/>
          <w:color w:val="000000" w:themeColor="text1"/>
          <w:sz w:val="32"/>
          <w:szCs w:val="32"/>
          <w:lang w:eastAsia="zh-CN"/>
        </w:rPr>
        <w:t>第二部分：商务及其他要求</w:t>
      </w:r>
    </w:p>
    <w:p>
      <w:pPr>
        <w:widowControl/>
        <w:numPr>
          <w:ilvl w:val="0"/>
          <w:numId w:val="3"/>
        </w:numPr>
        <w:jc w:val="lef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提供报价产品详细功能配置清单（品牌、规格、功能、数量、单价、总价），功能满足以上主要功能要求，但不限于以上要求内容。</w:t>
      </w:r>
    </w:p>
    <w:p>
      <w:pPr>
        <w:widowControl/>
        <w:numPr>
          <w:ilvl w:val="0"/>
          <w:numId w:val="3"/>
        </w:numPr>
        <w:jc w:val="lef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报价包含税价、货物运输、人工费用。</w:t>
      </w:r>
    </w:p>
    <w:p>
      <w:pPr>
        <w:widowControl/>
        <w:numPr>
          <w:ilvl w:val="0"/>
          <w:numId w:val="3"/>
        </w:numPr>
        <w:jc w:val="lef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免费质保期为项目验收后1年。</w:t>
      </w:r>
    </w:p>
    <w:p>
      <w:pPr>
        <w:widowControl/>
        <w:numPr>
          <w:ilvl w:val="0"/>
          <w:numId w:val="3"/>
        </w:numPr>
        <w:jc w:val="lef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报价单位应合理报价。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0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D1BA3"/>
    <w:multiLevelType w:val="singleLevel"/>
    <w:tmpl w:val="A70D1BA3"/>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42796E8F"/>
    <w:multiLevelType w:val="singleLevel"/>
    <w:tmpl w:val="42796E8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B1241B"/>
    <w:rsid w:val="1BDC7C9B"/>
    <w:rsid w:val="1F2972F7"/>
    <w:rsid w:val="4DE77D5B"/>
    <w:rsid w:val="7B7D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0"/>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1"/>
    <w:qFormat/>
    <w:uiPriority w:val="9"/>
    <w:pPr>
      <w:keepNext/>
      <w:keepLines/>
      <w:numPr>
        <w:ilvl w:val="1"/>
        <w:numId w:val="1"/>
      </w:numPr>
      <w:spacing w:before="260" w:after="260" w:line="416" w:lineRule="auto"/>
      <w:outlineLvl w:val="1"/>
    </w:pPr>
    <w:rPr>
      <w:rFonts w:ascii="等线 Light" w:hAnsi="等线 Light" w:eastAsia="等线 Light" w:cs="宋体"/>
      <w:b/>
      <w:bCs/>
      <w:sz w:val="32"/>
      <w:szCs w:val="32"/>
    </w:rPr>
  </w:style>
  <w:style w:type="paragraph" w:styleId="4">
    <w:name w:val="heading 3"/>
    <w:basedOn w:val="1"/>
    <w:next w:val="1"/>
    <w:link w:val="22"/>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3"/>
    <w:qFormat/>
    <w:uiPriority w:val="9"/>
    <w:pPr>
      <w:keepNext/>
      <w:keepLines/>
      <w:numPr>
        <w:ilvl w:val="3"/>
        <w:numId w:val="1"/>
      </w:numPr>
      <w:spacing w:before="280" w:after="290" w:line="376" w:lineRule="auto"/>
      <w:outlineLvl w:val="3"/>
    </w:pPr>
    <w:rPr>
      <w:rFonts w:ascii="等线 Light" w:hAnsi="等线 Light" w:eastAsia="等线 Light" w:cs="宋体"/>
      <w:b/>
      <w:bCs/>
      <w:sz w:val="28"/>
      <w:szCs w:val="28"/>
    </w:rPr>
  </w:style>
  <w:style w:type="paragraph" w:styleId="6">
    <w:name w:val="heading 5"/>
    <w:basedOn w:val="1"/>
    <w:next w:val="1"/>
    <w:link w:val="24"/>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5"/>
    <w:qFormat/>
    <w:uiPriority w:val="9"/>
    <w:pPr>
      <w:keepNext/>
      <w:keepLines/>
      <w:numPr>
        <w:ilvl w:val="5"/>
        <w:numId w:val="1"/>
      </w:numPr>
      <w:spacing w:before="240" w:after="64" w:line="320" w:lineRule="auto"/>
      <w:outlineLvl w:val="5"/>
    </w:pPr>
    <w:rPr>
      <w:rFonts w:ascii="等线 Light" w:hAnsi="等线 Light" w:eastAsia="等线 Light" w:cs="宋体"/>
      <w:b/>
      <w:bCs/>
      <w:sz w:val="24"/>
      <w:szCs w:val="24"/>
    </w:rPr>
  </w:style>
  <w:style w:type="paragraph" w:styleId="8">
    <w:name w:val="heading 7"/>
    <w:basedOn w:val="1"/>
    <w:next w:val="1"/>
    <w:link w:val="26"/>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7"/>
    <w:qFormat/>
    <w:uiPriority w:val="9"/>
    <w:pPr>
      <w:keepNext/>
      <w:keepLines/>
      <w:numPr>
        <w:ilvl w:val="7"/>
        <w:numId w:val="1"/>
      </w:numPr>
      <w:spacing w:before="240" w:after="64" w:line="320" w:lineRule="auto"/>
      <w:outlineLvl w:val="7"/>
    </w:pPr>
    <w:rPr>
      <w:rFonts w:ascii="等线 Light" w:hAnsi="等线 Light" w:eastAsia="等线 Light" w:cs="宋体"/>
      <w:sz w:val="24"/>
      <w:szCs w:val="24"/>
    </w:rPr>
  </w:style>
  <w:style w:type="paragraph" w:styleId="10">
    <w:name w:val="heading 9"/>
    <w:basedOn w:val="1"/>
    <w:next w:val="1"/>
    <w:link w:val="28"/>
    <w:qFormat/>
    <w:uiPriority w:val="9"/>
    <w:pPr>
      <w:keepNext/>
      <w:keepLines/>
      <w:numPr>
        <w:ilvl w:val="8"/>
        <w:numId w:val="1"/>
      </w:numPr>
      <w:spacing w:before="240" w:after="64" w:line="320" w:lineRule="auto"/>
      <w:outlineLvl w:val="8"/>
    </w:pPr>
    <w:rPr>
      <w:rFonts w:ascii="等线 Light" w:hAnsi="等线 Light" w:eastAsia="等线 Light" w:cs="宋体"/>
      <w:szCs w:val="21"/>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11">
    <w:name w:val="Document Map"/>
    <w:basedOn w:val="1"/>
    <w:link w:val="96"/>
    <w:qFormat/>
    <w:uiPriority w:val="99"/>
    <w:rPr>
      <w:rFonts w:ascii="宋体" w:eastAsia="宋体"/>
      <w:sz w:val="18"/>
      <w:szCs w:val="18"/>
    </w:rPr>
  </w:style>
  <w:style w:type="paragraph" w:styleId="12">
    <w:name w:val="footer"/>
    <w:basedOn w:val="1"/>
    <w:link w:val="19"/>
    <w:qFormat/>
    <w:uiPriority w:val="99"/>
    <w:pPr>
      <w:tabs>
        <w:tab w:val="center" w:pos="4153"/>
        <w:tab w:val="right" w:pos="8306"/>
      </w:tabs>
      <w:snapToGrid w:val="0"/>
      <w:jc w:val="left"/>
    </w:pPr>
    <w:rPr>
      <w:sz w:val="18"/>
      <w:szCs w:val="18"/>
    </w:rPr>
  </w:style>
  <w:style w:type="paragraph" w:styleId="13">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6">
    <w:name w:val="FollowedHyperlink"/>
    <w:basedOn w:val="15"/>
    <w:qFormat/>
    <w:uiPriority w:val="99"/>
    <w:rPr>
      <w:color w:val="800080"/>
      <w:u w:val="single"/>
    </w:rPr>
  </w:style>
  <w:style w:type="character" w:styleId="17">
    <w:name w:val="Hyperlink"/>
    <w:basedOn w:val="15"/>
    <w:qFormat/>
    <w:uiPriority w:val="99"/>
    <w:rPr>
      <w:color w:val="0000FF"/>
      <w:u w:val="single"/>
    </w:rPr>
  </w:style>
  <w:style w:type="character" w:customStyle="1" w:styleId="18">
    <w:name w:val="页眉 字符"/>
    <w:basedOn w:val="15"/>
    <w:link w:val="13"/>
    <w:qFormat/>
    <w:uiPriority w:val="99"/>
    <w:rPr>
      <w:sz w:val="18"/>
      <w:szCs w:val="18"/>
    </w:rPr>
  </w:style>
  <w:style w:type="character" w:customStyle="1" w:styleId="19">
    <w:name w:val="页脚 字符"/>
    <w:basedOn w:val="15"/>
    <w:link w:val="12"/>
    <w:qFormat/>
    <w:uiPriority w:val="99"/>
    <w:rPr>
      <w:sz w:val="18"/>
      <w:szCs w:val="18"/>
    </w:rPr>
  </w:style>
  <w:style w:type="character" w:customStyle="1" w:styleId="20">
    <w:name w:val="标题 1 字符"/>
    <w:basedOn w:val="15"/>
    <w:link w:val="2"/>
    <w:qFormat/>
    <w:uiPriority w:val="9"/>
    <w:rPr>
      <w:b/>
      <w:bCs/>
      <w:kern w:val="44"/>
      <w:sz w:val="44"/>
      <w:szCs w:val="44"/>
    </w:rPr>
  </w:style>
  <w:style w:type="character" w:customStyle="1" w:styleId="21">
    <w:name w:val="标题 2 字符"/>
    <w:basedOn w:val="15"/>
    <w:link w:val="3"/>
    <w:qFormat/>
    <w:uiPriority w:val="9"/>
    <w:rPr>
      <w:rFonts w:ascii="等线 Light" w:hAnsi="等线 Light" w:eastAsia="等线 Light" w:cs="宋体"/>
      <w:b/>
      <w:bCs/>
      <w:sz w:val="32"/>
      <w:szCs w:val="32"/>
    </w:rPr>
  </w:style>
  <w:style w:type="character" w:customStyle="1" w:styleId="22">
    <w:name w:val="标题 3 字符"/>
    <w:basedOn w:val="15"/>
    <w:link w:val="4"/>
    <w:qFormat/>
    <w:uiPriority w:val="9"/>
    <w:rPr>
      <w:b/>
      <w:bCs/>
      <w:sz w:val="32"/>
      <w:szCs w:val="32"/>
    </w:rPr>
  </w:style>
  <w:style w:type="character" w:customStyle="1" w:styleId="23">
    <w:name w:val="标题 4 字符"/>
    <w:basedOn w:val="15"/>
    <w:link w:val="5"/>
    <w:qFormat/>
    <w:uiPriority w:val="9"/>
    <w:rPr>
      <w:rFonts w:ascii="等线 Light" w:hAnsi="等线 Light" w:eastAsia="等线 Light" w:cs="宋体"/>
      <w:b/>
      <w:bCs/>
      <w:sz w:val="28"/>
      <w:szCs w:val="28"/>
    </w:rPr>
  </w:style>
  <w:style w:type="character" w:customStyle="1" w:styleId="24">
    <w:name w:val="标题 5 字符"/>
    <w:basedOn w:val="15"/>
    <w:link w:val="6"/>
    <w:qFormat/>
    <w:uiPriority w:val="9"/>
    <w:rPr>
      <w:b/>
      <w:bCs/>
      <w:sz w:val="28"/>
      <w:szCs w:val="28"/>
    </w:rPr>
  </w:style>
  <w:style w:type="character" w:customStyle="1" w:styleId="25">
    <w:name w:val="标题 6 字符"/>
    <w:basedOn w:val="15"/>
    <w:link w:val="7"/>
    <w:qFormat/>
    <w:uiPriority w:val="9"/>
    <w:rPr>
      <w:rFonts w:ascii="等线 Light" w:hAnsi="等线 Light" w:eastAsia="等线 Light" w:cs="宋体"/>
      <w:b/>
      <w:bCs/>
      <w:sz w:val="24"/>
      <w:szCs w:val="24"/>
    </w:rPr>
  </w:style>
  <w:style w:type="character" w:customStyle="1" w:styleId="26">
    <w:name w:val="标题 7 字符"/>
    <w:basedOn w:val="15"/>
    <w:link w:val="8"/>
    <w:qFormat/>
    <w:uiPriority w:val="9"/>
    <w:rPr>
      <w:b/>
      <w:bCs/>
      <w:sz w:val="24"/>
      <w:szCs w:val="24"/>
    </w:rPr>
  </w:style>
  <w:style w:type="character" w:customStyle="1" w:styleId="27">
    <w:name w:val="标题 8 字符"/>
    <w:basedOn w:val="15"/>
    <w:link w:val="9"/>
    <w:qFormat/>
    <w:uiPriority w:val="9"/>
    <w:rPr>
      <w:rFonts w:ascii="等线 Light" w:hAnsi="等线 Light" w:eastAsia="等线 Light" w:cs="宋体"/>
      <w:sz w:val="24"/>
      <w:szCs w:val="24"/>
    </w:rPr>
  </w:style>
  <w:style w:type="character" w:customStyle="1" w:styleId="28">
    <w:name w:val="标题 9 字符"/>
    <w:basedOn w:val="15"/>
    <w:link w:val="10"/>
    <w:qFormat/>
    <w:uiPriority w:val="9"/>
    <w:rPr>
      <w:rFonts w:ascii="等线 Light" w:hAnsi="等线 Light" w:eastAsia="等线 Light" w:cs="宋体"/>
      <w:szCs w:val="21"/>
    </w:rPr>
  </w:style>
  <w:style w:type="paragraph" w:customStyle="1" w:styleId="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color w:val="548DD4"/>
      <w:kern w:val="0"/>
      <w:szCs w:val="21"/>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0"/>
      <w:szCs w:val="20"/>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FF0000"/>
      <w:kern w:val="0"/>
      <w:sz w:val="20"/>
      <w:szCs w:val="20"/>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0"/>
      <w:szCs w:val="20"/>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1"/>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
    <w:name w:val="xl7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FF0000"/>
      <w:kern w:val="0"/>
      <w:sz w:val="24"/>
      <w:szCs w:val="24"/>
    </w:rPr>
  </w:style>
  <w:style w:type="paragraph" w:customStyle="1" w:styleId="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b/>
      <w:bCs/>
      <w:kern w:val="0"/>
      <w:szCs w:val="21"/>
    </w:rPr>
  </w:style>
  <w:style w:type="paragraph" w:customStyle="1" w:styleId="5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5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5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5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FF0000"/>
      <w:kern w:val="0"/>
      <w:sz w:val="24"/>
      <w:szCs w:val="24"/>
    </w:rPr>
  </w:style>
  <w:style w:type="paragraph" w:customStyle="1" w:styleId="5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59">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0">
    <w:name w:val="xl9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1">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6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64">
    <w:name w:val="xl9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65">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66">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67">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6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69">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70">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71">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7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7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74">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color w:val="FF0000"/>
      <w:kern w:val="0"/>
      <w:szCs w:val="21"/>
    </w:rPr>
  </w:style>
  <w:style w:type="paragraph" w:customStyle="1" w:styleId="75">
    <w:name w:val="xl10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color w:val="FF0000"/>
      <w:kern w:val="0"/>
      <w:szCs w:val="21"/>
    </w:rPr>
  </w:style>
  <w:style w:type="paragraph" w:customStyle="1" w:styleId="7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FF0000"/>
      <w:kern w:val="0"/>
      <w:szCs w:val="21"/>
    </w:rPr>
  </w:style>
  <w:style w:type="paragraph" w:customStyle="1" w:styleId="77">
    <w:name w:val="xl108"/>
    <w:basedOn w:val="1"/>
    <w:qFormat/>
    <w:uiPriority w:val="0"/>
    <w:pPr>
      <w:widowControl/>
      <w:spacing w:before="100" w:beforeAutospacing="1" w:after="100" w:afterAutospacing="1"/>
      <w:jc w:val="left"/>
    </w:pPr>
    <w:rPr>
      <w:rFonts w:ascii="宋体" w:hAnsi="宋体" w:eastAsia="宋体" w:cs="宋体"/>
      <w:b/>
      <w:bCs/>
      <w:color w:val="FF0000"/>
      <w:kern w:val="0"/>
      <w:sz w:val="24"/>
      <w:szCs w:val="24"/>
    </w:rPr>
  </w:style>
  <w:style w:type="paragraph" w:customStyle="1" w:styleId="78">
    <w:name w:val="xl10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3"/>
      <w:szCs w:val="23"/>
    </w:rPr>
  </w:style>
  <w:style w:type="paragraph" w:customStyle="1" w:styleId="7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3"/>
      <w:szCs w:val="23"/>
    </w:rPr>
  </w:style>
  <w:style w:type="paragraph" w:customStyle="1" w:styleId="80">
    <w:name w:val="xl111"/>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Cs w:val="21"/>
    </w:rPr>
  </w:style>
  <w:style w:type="paragraph" w:customStyle="1" w:styleId="8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Cs w:val="21"/>
    </w:rPr>
  </w:style>
  <w:style w:type="paragraph" w:customStyle="1" w:styleId="82">
    <w:name w:val="xl11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Cs w:val="21"/>
    </w:rPr>
  </w:style>
  <w:style w:type="paragraph" w:customStyle="1" w:styleId="83">
    <w:name w:val="xl114"/>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微软雅黑" w:hAnsi="微软雅黑" w:eastAsia="微软雅黑" w:cs="宋体"/>
      <w:kern w:val="0"/>
      <w:szCs w:val="21"/>
    </w:rPr>
  </w:style>
  <w:style w:type="paragraph" w:customStyle="1" w:styleId="84">
    <w:name w:val="xl11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23"/>
      <w:szCs w:val="23"/>
    </w:rPr>
  </w:style>
  <w:style w:type="paragraph" w:customStyle="1" w:styleId="8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6">
    <w:name w:val="xl11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7">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89">
    <w:name w:val="xl12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90">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91">
    <w:name w:val="xl122"/>
    <w:basedOn w:val="1"/>
    <w:qFormat/>
    <w:uiPriority w:val="0"/>
    <w:pPr>
      <w:widowControl/>
      <w:spacing w:before="100" w:beforeAutospacing="1" w:after="100" w:afterAutospacing="1"/>
      <w:jc w:val="left"/>
    </w:pPr>
    <w:rPr>
      <w:rFonts w:ascii="微软雅黑" w:hAnsi="微软雅黑" w:eastAsia="微软雅黑" w:cs="宋体"/>
      <w:color w:val="000000"/>
      <w:kern w:val="0"/>
      <w:szCs w:val="21"/>
    </w:rPr>
  </w:style>
  <w:style w:type="paragraph" w:customStyle="1" w:styleId="92">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Cs w:val="21"/>
    </w:rPr>
  </w:style>
  <w:style w:type="paragraph" w:customStyle="1" w:styleId="9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Cs w:val="21"/>
    </w:rPr>
  </w:style>
  <w:style w:type="paragraph" w:customStyle="1" w:styleId="94">
    <w:name w:val="xl12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95">
    <w:name w:val="xl126"/>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96">
    <w:name w:val="文档结构图 字符"/>
    <w:basedOn w:val="15"/>
    <w:link w:val="11"/>
    <w:qFormat/>
    <w:uiPriority w:val="99"/>
    <w:rPr>
      <w:rFonts w:ascii="宋体" w:eastAsia="宋体"/>
      <w:sz w:val="18"/>
      <w:szCs w:val="18"/>
    </w:rPr>
  </w:style>
  <w:style w:type="paragraph" w:styleId="9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4081</Words>
  <Characters>4141</Characters>
  <Paragraphs>608</Paragraphs>
  <TotalTime>8</TotalTime>
  <ScaleCrop>false</ScaleCrop>
  <LinksUpToDate>false</LinksUpToDate>
  <CharactersWithSpaces>4152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2018-03-30T07:16:00Z</dcterms:created>
  <dc:creator>WPS Office</dc:creator>
  <cp:lastModifiedBy>李骁</cp:lastModifiedBy>
  <dcterms:modified xsi:type="dcterms:W3CDTF">2023-02-20T08:14:56Z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d0d81eea5c0f4a5b8cad2d34c1f521ba</vt:lpwstr>
  </property>
</Properties>
</file>